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E86E" w14:textId="77777777" w:rsidR="002F555B" w:rsidRPr="00414C4E" w:rsidRDefault="00721C49">
      <w:pPr>
        <w:rPr>
          <w:rFonts w:ascii="Arial" w:hAnsi="Arial" w:cs="Arial"/>
          <w:noProof/>
        </w:rPr>
      </w:pPr>
      <w:bookmarkStart w:id="0" w:name="_GoBack"/>
      <w:bookmarkEnd w:id="0"/>
      <w:r w:rsidRPr="00414C4E">
        <w:rPr>
          <w:rFonts w:ascii="Arial" w:hAnsi="Arial" w:cs="Arial"/>
          <w:noProof/>
          <w:lang w:eastAsia="pl-PL"/>
        </w:rPr>
        <w:drawing>
          <wp:inline distT="0" distB="0" distL="0" distR="0" wp14:anchorId="27E3BB5E" wp14:editId="6697BAB8">
            <wp:extent cx="1779905" cy="1097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C7830" w14:textId="77777777" w:rsidR="00721C49" w:rsidRPr="00414C4E" w:rsidRDefault="00721C49" w:rsidP="00721C49">
      <w:pPr>
        <w:rPr>
          <w:rFonts w:ascii="Arial" w:hAnsi="Arial" w:cs="Arial"/>
        </w:rPr>
      </w:pPr>
    </w:p>
    <w:p w14:paraId="69EB9410" w14:textId="77777777" w:rsidR="00721C49" w:rsidRPr="00414C4E" w:rsidRDefault="00721C49" w:rsidP="00721C49">
      <w:pPr>
        <w:rPr>
          <w:rFonts w:ascii="Arial" w:hAnsi="Arial" w:cs="Arial"/>
        </w:rPr>
      </w:pPr>
    </w:p>
    <w:p w14:paraId="0D9C26B9" w14:textId="77777777" w:rsidR="00721C49" w:rsidRPr="00414C4E" w:rsidRDefault="00721C49" w:rsidP="00721C49">
      <w:pPr>
        <w:rPr>
          <w:rFonts w:ascii="Arial" w:hAnsi="Arial" w:cs="Arial"/>
          <w:noProof/>
        </w:rPr>
      </w:pPr>
    </w:p>
    <w:p w14:paraId="3A8632D1" w14:textId="78717583" w:rsidR="00721C49" w:rsidRPr="00414C4E" w:rsidRDefault="00721C49" w:rsidP="00721C49">
      <w:pPr>
        <w:jc w:val="center"/>
        <w:rPr>
          <w:rFonts w:ascii="Arial" w:hAnsi="Arial" w:cs="Arial"/>
        </w:rPr>
      </w:pPr>
    </w:p>
    <w:p w14:paraId="49584AD3" w14:textId="77777777" w:rsidR="00721C49" w:rsidRPr="00414C4E" w:rsidRDefault="00721C49" w:rsidP="00721C49">
      <w:pPr>
        <w:jc w:val="center"/>
        <w:rPr>
          <w:rFonts w:ascii="Arial" w:hAnsi="Arial" w:cs="Arial"/>
        </w:rPr>
      </w:pPr>
    </w:p>
    <w:p w14:paraId="5B3B64C1" w14:textId="77777777" w:rsidR="00721C49" w:rsidRPr="00414C4E" w:rsidRDefault="00721C49" w:rsidP="00721C49">
      <w:pPr>
        <w:jc w:val="center"/>
        <w:rPr>
          <w:rFonts w:ascii="Arial" w:eastAsia="Calibri" w:hAnsi="Arial" w:cs="Arial"/>
          <w:sz w:val="40"/>
          <w:szCs w:val="40"/>
        </w:rPr>
      </w:pPr>
    </w:p>
    <w:p w14:paraId="2338FE34" w14:textId="77777777" w:rsidR="00807D06" w:rsidRDefault="00807D06" w:rsidP="00721C49">
      <w:pPr>
        <w:jc w:val="center"/>
        <w:rPr>
          <w:rFonts w:ascii="Arial" w:eastAsia="Calibri" w:hAnsi="Arial" w:cs="Arial"/>
          <w:sz w:val="40"/>
          <w:szCs w:val="40"/>
        </w:rPr>
      </w:pPr>
    </w:p>
    <w:p w14:paraId="46EE4AD3" w14:textId="14693593" w:rsidR="00721C49" w:rsidRPr="00414C4E" w:rsidRDefault="00721C49" w:rsidP="00721C49">
      <w:pPr>
        <w:jc w:val="center"/>
        <w:rPr>
          <w:rFonts w:ascii="Arial" w:eastAsia="Calibri" w:hAnsi="Arial" w:cs="Arial"/>
          <w:sz w:val="40"/>
          <w:szCs w:val="40"/>
        </w:rPr>
      </w:pPr>
      <w:r w:rsidRPr="00414C4E">
        <w:rPr>
          <w:rFonts w:ascii="Arial" w:eastAsia="Calibri" w:hAnsi="Arial" w:cs="Arial"/>
          <w:sz w:val="40"/>
          <w:szCs w:val="40"/>
        </w:rPr>
        <w:t>pilotaż Krajowej Sieci Onkologicznej</w:t>
      </w:r>
    </w:p>
    <w:p w14:paraId="3EB95BD7" w14:textId="77777777" w:rsidR="00721C49" w:rsidRPr="00414C4E" w:rsidRDefault="00721C49" w:rsidP="00721C49">
      <w:pPr>
        <w:jc w:val="center"/>
        <w:rPr>
          <w:rFonts w:ascii="Arial" w:hAnsi="Arial" w:cs="Arial"/>
          <w:sz w:val="36"/>
          <w:szCs w:val="36"/>
        </w:rPr>
      </w:pPr>
    </w:p>
    <w:p w14:paraId="6805231E" w14:textId="77777777" w:rsidR="00721C49" w:rsidRPr="00414C4E" w:rsidRDefault="00721C49" w:rsidP="00721C49">
      <w:pPr>
        <w:jc w:val="center"/>
        <w:rPr>
          <w:rFonts w:ascii="Arial" w:hAnsi="Arial" w:cs="Arial"/>
          <w:sz w:val="36"/>
          <w:szCs w:val="36"/>
        </w:rPr>
      </w:pPr>
    </w:p>
    <w:p w14:paraId="282111D6" w14:textId="77777777" w:rsidR="00721C49" w:rsidRPr="00414C4E" w:rsidRDefault="00721C49" w:rsidP="00721C49">
      <w:pPr>
        <w:rPr>
          <w:rFonts w:ascii="Arial" w:hAnsi="Arial" w:cs="Arial"/>
          <w:sz w:val="36"/>
          <w:szCs w:val="36"/>
        </w:rPr>
      </w:pPr>
    </w:p>
    <w:p w14:paraId="17B613B7" w14:textId="77777777" w:rsidR="00721C49" w:rsidRPr="00414C4E" w:rsidRDefault="00721C49" w:rsidP="00721C49">
      <w:pPr>
        <w:jc w:val="center"/>
        <w:rPr>
          <w:rFonts w:ascii="Arial" w:hAnsi="Arial" w:cs="Arial"/>
          <w:sz w:val="36"/>
          <w:szCs w:val="36"/>
        </w:rPr>
      </w:pPr>
    </w:p>
    <w:p w14:paraId="3F1F0635" w14:textId="77777777" w:rsidR="00721C49" w:rsidRPr="00414C4E" w:rsidRDefault="00721C49" w:rsidP="00721C49">
      <w:pPr>
        <w:jc w:val="center"/>
        <w:rPr>
          <w:rFonts w:ascii="Arial" w:eastAsia="Calibri" w:hAnsi="Arial" w:cs="Arial"/>
          <w:sz w:val="36"/>
          <w:szCs w:val="36"/>
        </w:rPr>
      </w:pPr>
    </w:p>
    <w:p w14:paraId="243DF7F9" w14:textId="77777777" w:rsidR="00721C49" w:rsidRPr="00414C4E" w:rsidRDefault="00721C49" w:rsidP="00721C49">
      <w:pPr>
        <w:jc w:val="center"/>
        <w:rPr>
          <w:rFonts w:ascii="Arial" w:eastAsia="Calibri" w:hAnsi="Arial" w:cs="Arial"/>
          <w:sz w:val="36"/>
          <w:szCs w:val="36"/>
        </w:rPr>
      </w:pPr>
    </w:p>
    <w:p w14:paraId="785EC154" w14:textId="77777777" w:rsidR="00721C49" w:rsidRPr="00414C4E" w:rsidRDefault="00721C49" w:rsidP="00721C49">
      <w:pPr>
        <w:jc w:val="center"/>
        <w:rPr>
          <w:rFonts w:ascii="Arial" w:eastAsia="Calibri" w:hAnsi="Arial" w:cs="Arial"/>
          <w:sz w:val="36"/>
          <w:szCs w:val="36"/>
        </w:rPr>
      </w:pPr>
    </w:p>
    <w:p w14:paraId="662BA45B" w14:textId="77777777" w:rsidR="00721C49" w:rsidRPr="00414C4E" w:rsidRDefault="00721C49" w:rsidP="00721C49">
      <w:pPr>
        <w:jc w:val="center"/>
        <w:rPr>
          <w:rFonts w:ascii="Arial" w:eastAsia="Calibri" w:hAnsi="Arial" w:cs="Arial"/>
          <w:sz w:val="36"/>
          <w:szCs w:val="36"/>
        </w:rPr>
      </w:pPr>
    </w:p>
    <w:p w14:paraId="334D262E" w14:textId="77777777" w:rsidR="00721C49" w:rsidRPr="00414C4E" w:rsidRDefault="00721C49" w:rsidP="00721C49">
      <w:pPr>
        <w:jc w:val="center"/>
        <w:rPr>
          <w:rFonts w:ascii="Arial" w:eastAsia="Calibri" w:hAnsi="Arial" w:cs="Arial"/>
          <w:sz w:val="36"/>
          <w:szCs w:val="36"/>
        </w:rPr>
      </w:pPr>
    </w:p>
    <w:p w14:paraId="12EB4911" w14:textId="77777777" w:rsidR="002A59B1" w:rsidRPr="00414C4E" w:rsidRDefault="002A59B1" w:rsidP="00721C49">
      <w:pPr>
        <w:jc w:val="center"/>
        <w:rPr>
          <w:rFonts w:ascii="Arial" w:eastAsia="Calibri" w:hAnsi="Arial" w:cs="Arial"/>
          <w:sz w:val="32"/>
          <w:szCs w:val="32"/>
        </w:rPr>
      </w:pPr>
    </w:p>
    <w:p w14:paraId="3BC77407" w14:textId="77777777" w:rsidR="002A59B1" w:rsidRPr="00414C4E" w:rsidRDefault="002A59B1" w:rsidP="00721C49">
      <w:pPr>
        <w:jc w:val="center"/>
        <w:rPr>
          <w:rFonts w:ascii="Arial" w:eastAsia="Calibri" w:hAnsi="Arial" w:cs="Arial"/>
          <w:sz w:val="32"/>
          <w:szCs w:val="32"/>
        </w:rPr>
      </w:pPr>
    </w:p>
    <w:p w14:paraId="37749DF8" w14:textId="2E7DA4DA" w:rsidR="00096998" w:rsidRDefault="00D439B4" w:rsidP="005F2C8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32"/>
          <w:szCs w:val="32"/>
        </w:rPr>
        <w:br w:type="page"/>
      </w:r>
      <w:r>
        <w:rPr>
          <w:rFonts w:ascii="Arial" w:hAnsi="Arial" w:cs="Arial"/>
        </w:rPr>
        <w:lastRenderedPageBreak/>
        <w:t xml:space="preserve">Pilotaż sieci onkologicznej ruszył </w:t>
      </w:r>
      <w:r w:rsidRPr="00414C4E">
        <w:rPr>
          <w:rFonts w:ascii="Arial" w:hAnsi="Arial" w:cs="Arial"/>
        </w:rPr>
        <w:t>w lutym 2019 roku</w:t>
      </w:r>
      <w:r>
        <w:rPr>
          <w:rFonts w:ascii="Arial" w:hAnsi="Arial" w:cs="Arial"/>
        </w:rPr>
        <w:t xml:space="preserve"> </w:t>
      </w:r>
      <w:r w:rsidRPr="00414C4E">
        <w:rPr>
          <w:rFonts w:ascii="Arial" w:hAnsi="Arial" w:cs="Arial"/>
        </w:rPr>
        <w:t>w województwie dolnośląskim i</w:t>
      </w:r>
      <w:r w:rsidR="00924163">
        <w:rPr>
          <w:rFonts w:ascii="Arial" w:hAnsi="Arial" w:cs="Arial"/>
        </w:rPr>
        <w:t> </w:t>
      </w:r>
      <w:r w:rsidRPr="00414C4E">
        <w:rPr>
          <w:rFonts w:ascii="Arial" w:hAnsi="Arial" w:cs="Arial"/>
        </w:rPr>
        <w:t>świętokrzyskim</w:t>
      </w:r>
      <w:r>
        <w:rPr>
          <w:rFonts w:ascii="Arial" w:hAnsi="Arial" w:cs="Arial"/>
        </w:rPr>
        <w:t xml:space="preserve">, na podstawie </w:t>
      </w:r>
      <w:r w:rsidR="00537826" w:rsidRPr="00414C4E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="00537826" w:rsidRPr="00414C4E">
        <w:rPr>
          <w:rFonts w:ascii="Arial" w:hAnsi="Arial" w:cs="Arial"/>
        </w:rPr>
        <w:t xml:space="preserve"> Ministra Zdrowia z dnia 13 grudnia 2018 r</w:t>
      </w:r>
      <w:r w:rsidR="001832D3">
        <w:rPr>
          <w:rFonts w:ascii="Arial" w:hAnsi="Arial" w:cs="Arial"/>
        </w:rPr>
        <w:t>.</w:t>
      </w:r>
      <w:r w:rsidR="00537826" w:rsidRPr="00414C4E">
        <w:rPr>
          <w:rFonts w:ascii="Arial" w:hAnsi="Arial" w:cs="Arial"/>
        </w:rPr>
        <w:t xml:space="preserve"> w</w:t>
      </w:r>
      <w:r w:rsidR="00924163">
        <w:rPr>
          <w:rFonts w:ascii="Arial" w:hAnsi="Arial" w:cs="Arial"/>
        </w:rPr>
        <w:t> </w:t>
      </w:r>
      <w:r w:rsidR="00537826" w:rsidRPr="00414C4E">
        <w:rPr>
          <w:rFonts w:ascii="Arial" w:hAnsi="Arial" w:cs="Arial"/>
        </w:rPr>
        <w:t>sprawie programu pilotażowego opieki nad świadczeniobiorcą w ramach sieci onkologicznej. Następnie na podstawie Rozporządzenia Ministra Zdrowia z dnia 2</w:t>
      </w:r>
      <w:r w:rsidR="00924163">
        <w:rPr>
          <w:rFonts w:ascii="Arial" w:hAnsi="Arial" w:cs="Arial"/>
        </w:rPr>
        <w:t> </w:t>
      </w:r>
      <w:r w:rsidR="00537826" w:rsidRPr="00414C4E">
        <w:rPr>
          <w:rFonts w:ascii="Arial" w:hAnsi="Arial" w:cs="Arial"/>
        </w:rPr>
        <w:t xml:space="preserve">października 2019 r. zmieniającego rozporządzenie w sprawie programu pilotażowego opieki nad świadczeniobiorcą w ramach sieci onkologicznej, rozszerzono pilotaż </w:t>
      </w:r>
      <w:r w:rsidR="00EB6583" w:rsidRPr="00414C4E">
        <w:rPr>
          <w:rFonts w:ascii="Arial" w:hAnsi="Arial" w:cs="Arial"/>
        </w:rPr>
        <w:t>o</w:t>
      </w:r>
      <w:r w:rsidR="00537826" w:rsidRPr="00414C4E">
        <w:rPr>
          <w:rFonts w:ascii="Arial" w:hAnsi="Arial" w:cs="Arial"/>
        </w:rPr>
        <w:t xml:space="preserve"> dwa kolejne województwa – podlaskie i pomorskie</w:t>
      </w:r>
      <w:r w:rsidR="00B06BAB">
        <w:rPr>
          <w:rFonts w:ascii="Arial" w:hAnsi="Arial" w:cs="Arial"/>
        </w:rPr>
        <w:t>.</w:t>
      </w:r>
    </w:p>
    <w:p w14:paraId="459EC16E" w14:textId="77777777" w:rsidR="00096998" w:rsidRDefault="00096998" w:rsidP="00537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Cele ogólne pilotażu sieci onkologicznej:</w:t>
      </w:r>
    </w:p>
    <w:p w14:paraId="7FBC2DAE" w14:textId="3FC3DD85" w:rsidR="00096998" w:rsidRPr="00880F16" w:rsidRDefault="000F3252" w:rsidP="008B3D4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6998" w:rsidRPr="00880F16">
        <w:rPr>
          <w:rFonts w:ascii="Arial" w:hAnsi="Arial" w:cs="Arial"/>
        </w:rPr>
        <w:t xml:space="preserve">mniejszenie </w:t>
      </w:r>
      <w:r w:rsidR="000E1633" w:rsidRPr="00880F16">
        <w:rPr>
          <w:rFonts w:ascii="Arial" w:hAnsi="Arial" w:cs="Arial"/>
        </w:rPr>
        <w:t>nierówności w dostępie do opieki onkologicznej</w:t>
      </w:r>
      <w:r w:rsidR="008B3D4A">
        <w:rPr>
          <w:rFonts w:ascii="Arial" w:hAnsi="Arial" w:cs="Arial"/>
        </w:rPr>
        <w:t>,</w:t>
      </w:r>
    </w:p>
    <w:p w14:paraId="0F4CD95D" w14:textId="629711F3" w:rsidR="00096998" w:rsidRPr="00880F16" w:rsidRDefault="000F3252" w:rsidP="008B3D4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6998" w:rsidRPr="00880F16">
        <w:rPr>
          <w:rFonts w:ascii="Arial" w:hAnsi="Arial" w:cs="Arial"/>
        </w:rPr>
        <w:t>ydłużenie czasu przeżycia</w:t>
      </w:r>
      <w:r w:rsidR="000E1633" w:rsidRPr="00880F16">
        <w:rPr>
          <w:rFonts w:ascii="Arial" w:hAnsi="Arial" w:cs="Arial"/>
        </w:rPr>
        <w:t xml:space="preserve"> </w:t>
      </w:r>
      <w:r w:rsidR="00096998" w:rsidRPr="00880F16">
        <w:rPr>
          <w:rFonts w:ascii="Arial" w:hAnsi="Arial" w:cs="Arial"/>
        </w:rPr>
        <w:t>chorych</w:t>
      </w:r>
      <w:r w:rsidR="008B3D4A">
        <w:rPr>
          <w:rFonts w:ascii="Arial" w:hAnsi="Arial" w:cs="Arial"/>
        </w:rPr>
        <w:t>,</w:t>
      </w:r>
    </w:p>
    <w:p w14:paraId="120DCB26" w14:textId="6EEA1305" w:rsidR="00096998" w:rsidRPr="00880F16" w:rsidRDefault="000F3252" w:rsidP="008B3D4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6998" w:rsidRPr="00880F16">
        <w:rPr>
          <w:rFonts w:ascii="Arial" w:hAnsi="Arial" w:cs="Arial"/>
        </w:rPr>
        <w:t xml:space="preserve">prowadzenie </w:t>
      </w:r>
      <w:r w:rsidR="000E1633" w:rsidRPr="00880F16">
        <w:rPr>
          <w:rFonts w:ascii="Arial" w:hAnsi="Arial" w:cs="Arial"/>
        </w:rPr>
        <w:t>wytycznych leczenia i wskaźników efektywności oraz wprowadzenie obowiązku ich raportowania</w:t>
      </w:r>
      <w:r w:rsidR="008B3D4A">
        <w:rPr>
          <w:rFonts w:ascii="Arial" w:hAnsi="Arial" w:cs="Arial"/>
        </w:rPr>
        <w:t>,</w:t>
      </w:r>
    </w:p>
    <w:p w14:paraId="363725EE" w14:textId="0A53F40D" w:rsidR="00096998" w:rsidRPr="00880F16" w:rsidRDefault="000F3252" w:rsidP="008B3D4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E1633" w:rsidRPr="00880F16">
        <w:rPr>
          <w:rFonts w:ascii="Arial" w:hAnsi="Arial" w:cs="Arial"/>
        </w:rPr>
        <w:t>mniejszenie liczby powikłań</w:t>
      </w:r>
      <w:r w:rsidR="008B3D4A">
        <w:rPr>
          <w:rFonts w:ascii="Arial" w:hAnsi="Arial" w:cs="Arial"/>
        </w:rPr>
        <w:t>,</w:t>
      </w:r>
    </w:p>
    <w:p w14:paraId="7CB6ECFB" w14:textId="3DEB85C7" w:rsidR="00096998" w:rsidRPr="00880F16" w:rsidRDefault="000F3252" w:rsidP="008B3D4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E1633" w:rsidRPr="00880F16">
        <w:rPr>
          <w:rFonts w:ascii="Arial" w:hAnsi="Arial" w:cs="Arial"/>
        </w:rPr>
        <w:t>bniżenie kosztów całkowitych terapii poprzez wyeliminowanie dublowania świadczeń</w:t>
      </w:r>
      <w:r w:rsidR="008B3D4A">
        <w:rPr>
          <w:rFonts w:ascii="Arial" w:hAnsi="Arial" w:cs="Arial"/>
        </w:rPr>
        <w:t>,</w:t>
      </w:r>
      <w:r w:rsidR="00096998" w:rsidRPr="00880F16">
        <w:rPr>
          <w:rFonts w:ascii="Arial" w:hAnsi="Arial" w:cs="Arial"/>
        </w:rPr>
        <w:t xml:space="preserve"> </w:t>
      </w:r>
    </w:p>
    <w:p w14:paraId="0980158C" w14:textId="0AC0A14F" w:rsidR="00096998" w:rsidRPr="00880F16" w:rsidRDefault="000F3252" w:rsidP="008B3D4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615A5" w:rsidRPr="00880F16">
        <w:rPr>
          <w:rFonts w:ascii="Arial" w:hAnsi="Arial" w:cs="Arial"/>
        </w:rPr>
        <w:t>realnienie wyceny</w:t>
      </w:r>
      <w:r w:rsidR="00096998" w:rsidRPr="00880F16">
        <w:rPr>
          <w:rFonts w:ascii="Arial" w:hAnsi="Arial" w:cs="Arial"/>
        </w:rPr>
        <w:t xml:space="preserve"> kompleksowych procedur onkologicznych</w:t>
      </w:r>
      <w:r w:rsidR="008B3D4A">
        <w:rPr>
          <w:rFonts w:ascii="Arial" w:hAnsi="Arial" w:cs="Arial"/>
        </w:rPr>
        <w:t>,</w:t>
      </w:r>
    </w:p>
    <w:p w14:paraId="5BF323B4" w14:textId="6024A90B" w:rsidR="002F43A3" w:rsidRPr="00880F16" w:rsidRDefault="000F3252" w:rsidP="008B3D4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15A5" w:rsidRPr="00880F16">
        <w:rPr>
          <w:rFonts w:ascii="Arial" w:hAnsi="Arial" w:cs="Arial"/>
        </w:rPr>
        <w:t>łatność za efekt</w:t>
      </w:r>
      <w:r w:rsidR="00096998" w:rsidRPr="00880F16">
        <w:rPr>
          <w:rFonts w:ascii="Arial" w:hAnsi="Arial" w:cs="Arial"/>
        </w:rPr>
        <w:t>, wyższą jakość procedur.</w:t>
      </w:r>
    </w:p>
    <w:p w14:paraId="368B1769" w14:textId="264D238C" w:rsidR="00E64630" w:rsidRDefault="006A1B07" w:rsidP="00537826">
      <w:pPr>
        <w:jc w:val="both"/>
        <w:rPr>
          <w:rFonts w:ascii="Arial" w:hAnsi="Arial" w:cs="Arial"/>
        </w:rPr>
      </w:pPr>
      <w:r w:rsidRPr="006A1B07">
        <w:rPr>
          <w:rFonts w:ascii="Arial" w:hAnsi="Arial" w:cs="Arial"/>
        </w:rPr>
        <w:t>Pilotażem mogą zostać objęci pacjenci, u których w okresie realizacji pilotażu rozpoznano nowotwór złośliwy gruczołu krokowego, jajnika, jelita grubego, piersi lub płuca (kody jednostek chorobowych według klasyfikacji ICD-10: C18-C20, C34, C50, C56, C61, D05 i C78.0).</w:t>
      </w:r>
    </w:p>
    <w:p w14:paraId="78596E8C" w14:textId="0CA9EDAE" w:rsidR="005D455C" w:rsidRDefault="005D455C" w:rsidP="00537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Struktura ośrodków realizujących program pilotażowy obejmuje:</w:t>
      </w:r>
    </w:p>
    <w:p w14:paraId="6E0FE6A7" w14:textId="75E7A99B" w:rsidR="005D455C" w:rsidRDefault="005D455C" w:rsidP="005D455C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5D455C">
        <w:rPr>
          <w:rFonts w:ascii="Arial" w:hAnsi="Arial" w:cs="Arial"/>
        </w:rPr>
        <w:t xml:space="preserve">Wojewódzkie </w:t>
      </w:r>
      <w:r w:rsidR="00EA7089">
        <w:rPr>
          <w:rFonts w:ascii="Arial" w:hAnsi="Arial" w:cs="Arial"/>
        </w:rPr>
        <w:t>o</w:t>
      </w:r>
      <w:r w:rsidRPr="005D455C">
        <w:rPr>
          <w:rFonts w:ascii="Arial" w:hAnsi="Arial" w:cs="Arial"/>
        </w:rPr>
        <w:t xml:space="preserve">środki </w:t>
      </w:r>
      <w:r w:rsidR="00EA7089">
        <w:rPr>
          <w:rFonts w:ascii="Arial" w:hAnsi="Arial" w:cs="Arial"/>
        </w:rPr>
        <w:t>k</w:t>
      </w:r>
      <w:r w:rsidRPr="005D455C">
        <w:rPr>
          <w:rFonts w:ascii="Arial" w:hAnsi="Arial" w:cs="Arial"/>
        </w:rPr>
        <w:t>oordynujące</w:t>
      </w:r>
      <w:r w:rsidR="00EA7089">
        <w:rPr>
          <w:rFonts w:ascii="Arial" w:hAnsi="Arial" w:cs="Arial"/>
        </w:rPr>
        <w:t xml:space="preserve"> (WOK)</w:t>
      </w:r>
      <w:r w:rsidRPr="005D455C">
        <w:rPr>
          <w:rFonts w:ascii="Arial" w:hAnsi="Arial" w:cs="Arial"/>
        </w:rPr>
        <w:t>:</w:t>
      </w:r>
    </w:p>
    <w:p w14:paraId="16D885FC" w14:textId="0545DC8F" w:rsidR="005D455C" w:rsidRDefault="005D455C" w:rsidP="005D455C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Dolnośląskie Centrum Onkologii we Wrocławiu – w województwie dolnośląskim</w:t>
      </w:r>
      <w:r w:rsidR="00EA7089">
        <w:rPr>
          <w:rFonts w:ascii="Arial" w:hAnsi="Arial" w:cs="Arial"/>
        </w:rPr>
        <w:t>,</w:t>
      </w:r>
    </w:p>
    <w:p w14:paraId="0D9D7219" w14:textId="642B076E" w:rsidR="005D455C" w:rsidRDefault="005D455C" w:rsidP="005D455C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Świętokrzyskie Centrum Onkologii w Kielcach – w województwie świętokrzyskim</w:t>
      </w:r>
      <w:r w:rsidR="00EA7089">
        <w:rPr>
          <w:rFonts w:ascii="Arial" w:hAnsi="Arial" w:cs="Arial"/>
        </w:rPr>
        <w:t>,</w:t>
      </w:r>
    </w:p>
    <w:p w14:paraId="0A709EE7" w14:textId="73DD7933" w:rsidR="005D455C" w:rsidRDefault="005D455C" w:rsidP="005D455C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Białostockie Centrum Onkologii </w:t>
      </w:r>
      <w:r w:rsidRPr="005D455C">
        <w:rPr>
          <w:rFonts w:ascii="Arial" w:hAnsi="Arial" w:cs="Arial"/>
        </w:rPr>
        <w:t>im. Marii Skłodowskiej-Curie</w:t>
      </w:r>
      <w:r>
        <w:rPr>
          <w:rFonts w:ascii="Arial" w:hAnsi="Arial" w:cs="Arial"/>
        </w:rPr>
        <w:t xml:space="preserve"> – w województwie</w:t>
      </w:r>
      <w:r w:rsidR="00EA70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podlaskim</w:t>
      </w:r>
      <w:r w:rsidR="00EA7089">
        <w:rPr>
          <w:rFonts w:ascii="Arial" w:hAnsi="Arial" w:cs="Arial"/>
        </w:rPr>
        <w:t>,</w:t>
      </w:r>
    </w:p>
    <w:p w14:paraId="7AA456B7" w14:textId="43BDD22B" w:rsidR="005D455C" w:rsidRDefault="005D455C" w:rsidP="005D455C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Uniwersyteckie Centrum Kliniczne w Gdańsku – w województwie pomorskim</w:t>
      </w:r>
      <w:r w:rsidR="00EA7089">
        <w:rPr>
          <w:rFonts w:ascii="Arial" w:hAnsi="Arial" w:cs="Arial"/>
        </w:rPr>
        <w:t>.</w:t>
      </w:r>
    </w:p>
    <w:p w14:paraId="64348666" w14:textId="199D09DF" w:rsidR="00EA7089" w:rsidRDefault="00EA7089" w:rsidP="00EA7089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Współpracujący uniwersytecki ośrodek kliniczny (WUOK)</w:t>
      </w:r>
      <w:r w:rsidR="007578A6">
        <w:rPr>
          <w:rFonts w:ascii="Arial" w:hAnsi="Arial" w:cs="Arial"/>
        </w:rPr>
        <w:t xml:space="preserve"> – jedynie na terenie województwa podlaskiego w zakresie leczenia raka płuca.</w:t>
      </w:r>
    </w:p>
    <w:p w14:paraId="389081C2" w14:textId="49989969" w:rsidR="007578A6" w:rsidRDefault="007578A6" w:rsidP="007578A6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Uniwersytecki Szpital Kliniczny w Białymstoku.</w:t>
      </w:r>
    </w:p>
    <w:p w14:paraId="5016E667" w14:textId="10F4BEA0" w:rsidR="00937D44" w:rsidRPr="005F2C8C" w:rsidRDefault="007578A6" w:rsidP="003C5AC1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Ośrodki współpracujące I oraz II poziomu – zawierają z WOK-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porozumieni</w:t>
      </w:r>
      <w:r w:rsidR="000273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</w:t>
      </w:r>
      <w:r w:rsidR="00027342">
        <w:rPr>
          <w:rFonts w:ascii="Arial" w:hAnsi="Arial" w:cs="Arial"/>
        </w:rPr>
        <w:t> </w:t>
      </w:r>
      <w:r w:rsidRPr="007578A6">
        <w:rPr>
          <w:rFonts w:ascii="Arial" w:hAnsi="Arial" w:cs="Arial"/>
        </w:rPr>
        <w:t>współpracy dotyczące sprawowania koordynowanej opieki onkologicznej w ramach pilotażu, w tym wzajemnego</w:t>
      </w:r>
      <w:r>
        <w:rPr>
          <w:rFonts w:ascii="Arial" w:hAnsi="Arial" w:cs="Arial"/>
        </w:rPr>
        <w:t xml:space="preserve"> </w:t>
      </w:r>
      <w:r w:rsidRPr="007578A6">
        <w:rPr>
          <w:rFonts w:ascii="Arial" w:hAnsi="Arial" w:cs="Arial"/>
        </w:rPr>
        <w:t>przepływu danych</w:t>
      </w:r>
      <w:r>
        <w:rPr>
          <w:rFonts w:ascii="Arial" w:hAnsi="Arial" w:cs="Arial"/>
        </w:rPr>
        <w:t>.</w:t>
      </w:r>
    </w:p>
    <w:p w14:paraId="6B7D74CB" w14:textId="77777777" w:rsidR="004F4D00" w:rsidRDefault="004F4D00" w:rsidP="004E7E6D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</w:p>
    <w:p w14:paraId="36DECE46" w14:textId="1C89BF52" w:rsidR="00BE46B7" w:rsidRDefault="004F4D00" w:rsidP="004E7E6D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9B1C77">
        <w:rPr>
          <w:rFonts w:ascii="Arial" w:hAnsi="Arial" w:cs="Arial"/>
          <w:b/>
          <w:bCs/>
          <w:u w:val="single"/>
        </w:rPr>
        <w:t xml:space="preserve">Przedstawione poniżej informacje dotyczące efektów pilotażu obejmują stan na </w:t>
      </w:r>
      <w:r>
        <w:rPr>
          <w:rFonts w:ascii="Arial" w:hAnsi="Arial" w:cs="Arial"/>
          <w:b/>
          <w:bCs/>
          <w:u w:val="single"/>
        </w:rPr>
        <w:t>koniec 2020</w:t>
      </w:r>
      <w:r w:rsidRPr="009B1C77">
        <w:rPr>
          <w:rFonts w:ascii="Arial" w:hAnsi="Arial" w:cs="Arial"/>
          <w:b/>
          <w:bCs/>
          <w:u w:val="single"/>
        </w:rPr>
        <w:t xml:space="preserve"> r.</w:t>
      </w:r>
    </w:p>
    <w:p w14:paraId="2A039266" w14:textId="572E2624" w:rsidR="00EF0D9F" w:rsidRPr="005F2C8C" w:rsidRDefault="00924163" w:rsidP="005F2C8C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Liczba pacjentów objętych pilotażem.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10"/>
        <w:gridCol w:w="1712"/>
        <w:gridCol w:w="1812"/>
        <w:gridCol w:w="1712"/>
        <w:gridCol w:w="1714"/>
      </w:tblGrid>
      <w:tr w:rsidR="00D439B4" w:rsidRPr="00E842DB" w14:paraId="78BC0C5D" w14:textId="77777777" w:rsidTr="005F2C8C">
        <w:trPr>
          <w:trHeight w:val="50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14:paraId="52AE0329" w14:textId="3B714930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bookmarkStart w:id="1" w:name="_Hlk66365178"/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Liczba pacjentów objętych pilotażem – stan na 1.01.2021 r.</w:t>
            </w:r>
          </w:p>
        </w:tc>
      </w:tr>
      <w:tr w:rsidR="00D439B4" w:rsidRPr="00E842DB" w14:paraId="58CDB951" w14:textId="77777777" w:rsidTr="005F2C8C">
        <w:trPr>
          <w:trHeight w:val="506"/>
          <w:jc w:val="center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7A6E4E4" w14:textId="5D1F88CF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Razem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14:paraId="08EF9E5D" w14:textId="2F1299E6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Województwo dolnośląskie</w:t>
            </w:r>
          </w:p>
        </w:tc>
        <w:tc>
          <w:tcPr>
            <w:tcW w:w="1000" w:type="pct"/>
            <w:shd w:val="clear" w:color="auto" w:fill="9CC2E5" w:themeFill="accent5" w:themeFillTint="99"/>
            <w:vAlign w:val="center"/>
          </w:tcPr>
          <w:p w14:paraId="6B9B17DF" w14:textId="4DE092EA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Województwo świętokrzyskie</w:t>
            </w:r>
          </w:p>
        </w:tc>
        <w:tc>
          <w:tcPr>
            <w:tcW w:w="945" w:type="pct"/>
            <w:shd w:val="clear" w:color="auto" w:fill="9CC2E5" w:themeFill="accent5" w:themeFillTint="99"/>
            <w:vAlign w:val="center"/>
          </w:tcPr>
          <w:p w14:paraId="37EFA7CB" w14:textId="0AC6E0BA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Województwo podlaskie</w:t>
            </w:r>
          </w:p>
        </w:tc>
        <w:tc>
          <w:tcPr>
            <w:tcW w:w="946" w:type="pct"/>
            <w:shd w:val="clear" w:color="auto" w:fill="9CC2E5" w:themeFill="accent5" w:themeFillTint="99"/>
            <w:vAlign w:val="center"/>
          </w:tcPr>
          <w:p w14:paraId="0004F23D" w14:textId="1259EBC7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Województwo pomorskie</w:t>
            </w:r>
          </w:p>
        </w:tc>
      </w:tr>
      <w:tr w:rsidR="00D439B4" w:rsidRPr="00E842DB" w14:paraId="6F2AB348" w14:textId="77777777" w:rsidTr="005F2C8C">
        <w:trPr>
          <w:trHeight w:val="506"/>
          <w:jc w:val="center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D2BD83" w14:textId="04CFFED4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14 815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C10DA" w14:textId="58A804F3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noProof/>
                <w:sz w:val="20"/>
                <w:szCs w:val="20"/>
              </w:rPr>
              <w:t>9 064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2CF5D5A" w14:textId="3E7AAF0C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noProof/>
                <w:sz w:val="20"/>
                <w:szCs w:val="20"/>
              </w:rPr>
              <w:t>3 066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83D1D97" w14:textId="0D558111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noProof/>
                <w:sz w:val="20"/>
                <w:szCs w:val="20"/>
              </w:rPr>
              <w:t>1 053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BA4DFCE" w14:textId="235D86BA" w:rsidR="00D439B4" w:rsidRPr="00E842DB" w:rsidRDefault="00D439B4" w:rsidP="004E7E6D">
            <w:pPr>
              <w:pStyle w:val="Akapitzlist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noProof/>
                <w:sz w:val="20"/>
                <w:szCs w:val="20"/>
              </w:rPr>
              <w:t>1 632</w:t>
            </w:r>
          </w:p>
        </w:tc>
      </w:tr>
      <w:bookmarkEnd w:id="1"/>
    </w:tbl>
    <w:p w14:paraId="4813D10A" w14:textId="77777777" w:rsidR="00E64630" w:rsidRPr="00BE46B7" w:rsidRDefault="00E64630" w:rsidP="00BE46B7">
      <w:pPr>
        <w:jc w:val="both"/>
        <w:rPr>
          <w:rFonts w:ascii="Arial" w:hAnsi="Arial" w:cs="Arial"/>
        </w:rPr>
      </w:pPr>
    </w:p>
    <w:p w14:paraId="2C7FA204" w14:textId="785B03D7" w:rsidR="003C5AC1" w:rsidRPr="00EF0D9F" w:rsidRDefault="00BE46B7" w:rsidP="00BE46B7">
      <w:pPr>
        <w:jc w:val="both"/>
        <w:rPr>
          <w:rFonts w:ascii="Arial" w:hAnsi="Arial" w:cs="Arial"/>
        </w:rPr>
      </w:pPr>
      <w:r w:rsidRPr="00BE46B7">
        <w:rPr>
          <w:rFonts w:ascii="Arial" w:hAnsi="Arial" w:cs="Arial"/>
        </w:rPr>
        <w:lastRenderedPageBreak/>
        <w:t xml:space="preserve">Najwięcej </w:t>
      </w:r>
      <w:r>
        <w:rPr>
          <w:rFonts w:ascii="Arial" w:hAnsi="Arial" w:cs="Arial"/>
        </w:rPr>
        <w:t>świadczeniobiorców zostało włączonych do pilotażu w województwie dolnośląskim oraz świętokrzyskim, co jest spowodowane, m.in. wcześniejszym czasem rozpoczęcia programu pilotażowego w tych województwach.</w:t>
      </w:r>
    </w:p>
    <w:p w14:paraId="028C00E2" w14:textId="3BD8CD80" w:rsidR="004E7E6D" w:rsidRPr="005F2C8C" w:rsidRDefault="00411830" w:rsidP="005F2C8C">
      <w:pPr>
        <w:jc w:val="both"/>
        <w:rPr>
          <w:rFonts w:ascii="Arial" w:hAnsi="Arial" w:cs="Arial"/>
          <w:color w:val="0070C0"/>
        </w:rPr>
      </w:pPr>
      <w:r w:rsidRPr="005F2C8C">
        <w:rPr>
          <w:rFonts w:ascii="Arial" w:hAnsi="Arial" w:cs="Arial"/>
          <w:color w:val="0070C0"/>
        </w:rPr>
        <w:t>L</w:t>
      </w:r>
      <w:r w:rsidR="00924163">
        <w:rPr>
          <w:rFonts w:ascii="Arial" w:hAnsi="Arial" w:cs="Arial"/>
          <w:color w:val="0070C0"/>
        </w:rPr>
        <w:t xml:space="preserve">iczba pacjentów włączonych do pilotażu sieci onkologicznej w podziale na rozpoznania </w:t>
      </w:r>
      <w:r w:rsidR="00924163">
        <w:rPr>
          <w:rFonts w:ascii="Arial" w:hAnsi="Arial" w:cs="Arial"/>
          <w:color w:val="0070C0"/>
        </w:rPr>
        <w:br/>
        <w:t>(ICD-10).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980"/>
        <w:gridCol w:w="1115"/>
        <w:gridCol w:w="910"/>
        <w:gridCol w:w="1045"/>
        <w:gridCol w:w="919"/>
        <w:gridCol w:w="919"/>
        <w:gridCol w:w="1378"/>
      </w:tblGrid>
      <w:tr w:rsidR="00CE345E" w:rsidRPr="00E842DB" w14:paraId="71281124" w14:textId="2BC0D720" w:rsidTr="00CE345E">
        <w:tc>
          <w:tcPr>
            <w:tcW w:w="1794" w:type="dxa"/>
            <w:vMerge w:val="restart"/>
            <w:shd w:val="clear" w:color="auto" w:fill="9CC2E5" w:themeFill="accent5" w:themeFillTint="99"/>
            <w:vAlign w:val="center"/>
          </w:tcPr>
          <w:p w14:paraId="096707CE" w14:textId="75413018" w:rsidR="00CE345E" w:rsidRPr="00E842DB" w:rsidRDefault="00CE345E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Województwo</w:t>
            </w:r>
          </w:p>
        </w:tc>
        <w:tc>
          <w:tcPr>
            <w:tcW w:w="7266" w:type="dxa"/>
            <w:gridSpan w:val="7"/>
            <w:shd w:val="clear" w:color="auto" w:fill="9CC2E5" w:themeFill="accent5" w:themeFillTint="99"/>
            <w:vAlign w:val="center"/>
          </w:tcPr>
          <w:p w14:paraId="2009AE2F" w14:textId="6265BC6B" w:rsidR="00CE345E" w:rsidRPr="00E842DB" w:rsidRDefault="00CE345E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Rozpoznanie</w:t>
            </w:r>
          </w:p>
        </w:tc>
      </w:tr>
      <w:tr w:rsidR="009B1C77" w:rsidRPr="00E842DB" w14:paraId="6D02F069" w14:textId="2E6C0676" w:rsidTr="00CE345E">
        <w:tc>
          <w:tcPr>
            <w:tcW w:w="1794" w:type="dxa"/>
            <w:vMerge/>
            <w:shd w:val="clear" w:color="auto" w:fill="9CC2E5" w:themeFill="accent5" w:themeFillTint="99"/>
            <w:vAlign w:val="center"/>
          </w:tcPr>
          <w:p w14:paraId="29267AAE" w14:textId="77777777" w:rsidR="009B1C77" w:rsidRPr="00E842DB" w:rsidRDefault="009B1C77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9CC2E5" w:themeFill="accent5" w:themeFillTint="99"/>
            <w:vAlign w:val="center"/>
          </w:tcPr>
          <w:p w14:paraId="443D3A1B" w14:textId="3B2D9B69" w:rsidR="009B1C77" w:rsidRPr="00E842DB" w:rsidRDefault="009B1C77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Rak jajnika (C56)</w:t>
            </w:r>
          </w:p>
        </w:tc>
        <w:tc>
          <w:tcPr>
            <w:tcW w:w="1115" w:type="dxa"/>
            <w:shd w:val="clear" w:color="auto" w:fill="9CC2E5" w:themeFill="accent5" w:themeFillTint="99"/>
            <w:vAlign w:val="center"/>
          </w:tcPr>
          <w:p w14:paraId="7BEAEFED" w14:textId="12DEF34A" w:rsidR="009B1C77" w:rsidRPr="00E842DB" w:rsidRDefault="009B1C77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Rak jelita grubego (C18 – C20)</w:t>
            </w:r>
          </w:p>
        </w:tc>
        <w:tc>
          <w:tcPr>
            <w:tcW w:w="910" w:type="dxa"/>
            <w:shd w:val="clear" w:color="auto" w:fill="9CC2E5" w:themeFill="accent5" w:themeFillTint="99"/>
            <w:vAlign w:val="center"/>
          </w:tcPr>
          <w:p w14:paraId="7F035A4B" w14:textId="6736224B" w:rsidR="009B1C77" w:rsidRPr="00E842DB" w:rsidRDefault="009B1C77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Rak płuca (C34)</w:t>
            </w:r>
          </w:p>
        </w:tc>
        <w:tc>
          <w:tcPr>
            <w:tcW w:w="1045" w:type="dxa"/>
            <w:shd w:val="clear" w:color="auto" w:fill="9CC2E5" w:themeFill="accent5" w:themeFillTint="99"/>
            <w:vAlign w:val="center"/>
          </w:tcPr>
          <w:p w14:paraId="3EABF18C" w14:textId="57A8354C" w:rsidR="009B1C77" w:rsidRPr="00E842DB" w:rsidRDefault="009B1C77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Wtórny rak płuca (C78.0)</w:t>
            </w:r>
          </w:p>
        </w:tc>
        <w:tc>
          <w:tcPr>
            <w:tcW w:w="919" w:type="dxa"/>
            <w:shd w:val="clear" w:color="auto" w:fill="9CC2E5" w:themeFill="accent5" w:themeFillTint="99"/>
            <w:vAlign w:val="center"/>
          </w:tcPr>
          <w:p w14:paraId="655E5CE7" w14:textId="401F12C7" w:rsidR="009B1C77" w:rsidRPr="00E842DB" w:rsidRDefault="009B1C77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Rak piersi (C50)</w:t>
            </w:r>
          </w:p>
        </w:tc>
        <w:tc>
          <w:tcPr>
            <w:tcW w:w="919" w:type="dxa"/>
            <w:shd w:val="clear" w:color="auto" w:fill="9CC2E5" w:themeFill="accent5" w:themeFillTint="99"/>
            <w:vAlign w:val="center"/>
          </w:tcPr>
          <w:p w14:paraId="701EE9F9" w14:textId="092F702E" w:rsidR="009B1C77" w:rsidRPr="00E842DB" w:rsidRDefault="009B1C77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Rak piersi (D05)</w:t>
            </w:r>
          </w:p>
        </w:tc>
        <w:tc>
          <w:tcPr>
            <w:tcW w:w="1378" w:type="dxa"/>
            <w:shd w:val="clear" w:color="auto" w:fill="9CC2E5" w:themeFill="accent5" w:themeFillTint="99"/>
            <w:vAlign w:val="center"/>
          </w:tcPr>
          <w:p w14:paraId="014097FD" w14:textId="6331EAB1" w:rsidR="009B1C77" w:rsidRPr="00E842DB" w:rsidRDefault="009B1C77" w:rsidP="00CE345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Rak gruczołu krokowego (C61)</w:t>
            </w:r>
          </w:p>
        </w:tc>
      </w:tr>
      <w:tr w:rsidR="00CE345E" w:rsidRPr="00E842DB" w14:paraId="77AC72F0" w14:textId="26138474" w:rsidTr="00CE345E">
        <w:trPr>
          <w:trHeight w:val="454"/>
        </w:trPr>
        <w:tc>
          <w:tcPr>
            <w:tcW w:w="1794" w:type="dxa"/>
            <w:vAlign w:val="center"/>
          </w:tcPr>
          <w:p w14:paraId="24CDEF32" w14:textId="572D90FB" w:rsidR="009B1C77" w:rsidRPr="00E842DB" w:rsidRDefault="009B1C77" w:rsidP="004118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80" w:type="dxa"/>
            <w:vAlign w:val="center"/>
          </w:tcPr>
          <w:p w14:paraId="0B5E1F2B" w14:textId="39663EE7" w:rsidR="009B1C77" w:rsidRPr="00E842DB" w:rsidRDefault="008821DF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115" w:type="dxa"/>
            <w:vAlign w:val="center"/>
          </w:tcPr>
          <w:p w14:paraId="34DE6B78" w14:textId="6653AFF8" w:rsidR="009B1C77" w:rsidRPr="00E842DB" w:rsidRDefault="008821DF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1 817</w:t>
            </w:r>
          </w:p>
        </w:tc>
        <w:tc>
          <w:tcPr>
            <w:tcW w:w="910" w:type="dxa"/>
            <w:vAlign w:val="center"/>
          </w:tcPr>
          <w:p w14:paraId="53CDB2EF" w14:textId="16E4AA14" w:rsidR="009B1C77" w:rsidRPr="00E842DB" w:rsidRDefault="008821DF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2 217</w:t>
            </w:r>
          </w:p>
        </w:tc>
        <w:tc>
          <w:tcPr>
            <w:tcW w:w="1045" w:type="dxa"/>
            <w:vAlign w:val="center"/>
          </w:tcPr>
          <w:p w14:paraId="15565A96" w14:textId="658DEC1B" w:rsidR="009B1C77" w:rsidRPr="00E842DB" w:rsidRDefault="008821DF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19" w:type="dxa"/>
            <w:vAlign w:val="center"/>
          </w:tcPr>
          <w:p w14:paraId="2CDDE537" w14:textId="6522D1E3" w:rsidR="009B1C77" w:rsidRPr="00E842DB" w:rsidRDefault="008821DF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2 701</w:t>
            </w:r>
          </w:p>
        </w:tc>
        <w:tc>
          <w:tcPr>
            <w:tcW w:w="919" w:type="dxa"/>
            <w:vAlign w:val="center"/>
          </w:tcPr>
          <w:p w14:paraId="57AF35B6" w14:textId="6FE71EF4" w:rsidR="009B1C77" w:rsidRPr="00E842DB" w:rsidRDefault="008821DF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378" w:type="dxa"/>
            <w:vAlign w:val="center"/>
          </w:tcPr>
          <w:p w14:paraId="55CD0AD1" w14:textId="398CA9E9" w:rsidR="009B1C77" w:rsidRPr="00E842DB" w:rsidRDefault="008821DF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1 779</w:t>
            </w:r>
          </w:p>
        </w:tc>
      </w:tr>
      <w:tr w:rsidR="00CE345E" w:rsidRPr="00E842DB" w14:paraId="50B06671" w14:textId="3624CD81" w:rsidTr="00CE345E">
        <w:trPr>
          <w:trHeight w:val="454"/>
        </w:trPr>
        <w:tc>
          <w:tcPr>
            <w:tcW w:w="1794" w:type="dxa"/>
            <w:vAlign w:val="center"/>
          </w:tcPr>
          <w:p w14:paraId="2DC249A4" w14:textId="40CFD4D0" w:rsidR="009B1C77" w:rsidRPr="00E842DB" w:rsidRDefault="009B1C77" w:rsidP="004118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80" w:type="dxa"/>
            <w:vAlign w:val="center"/>
          </w:tcPr>
          <w:p w14:paraId="118FD426" w14:textId="778D80BB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15" w:type="dxa"/>
            <w:vAlign w:val="center"/>
          </w:tcPr>
          <w:p w14:paraId="55CA78CA" w14:textId="160B2597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910" w:type="dxa"/>
            <w:vAlign w:val="center"/>
          </w:tcPr>
          <w:p w14:paraId="5388C60F" w14:textId="26D75279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5" w:type="dxa"/>
            <w:vAlign w:val="center"/>
          </w:tcPr>
          <w:p w14:paraId="4122FDC6" w14:textId="2EA4CA32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9" w:type="dxa"/>
            <w:vAlign w:val="center"/>
          </w:tcPr>
          <w:p w14:paraId="766E63FA" w14:textId="5B826ADA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919" w:type="dxa"/>
            <w:vAlign w:val="center"/>
          </w:tcPr>
          <w:p w14:paraId="03FE5FDD" w14:textId="745E718B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78" w:type="dxa"/>
            <w:vAlign w:val="center"/>
          </w:tcPr>
          <w:p w14:paraId="3CEC9A4A" w14:textId="09982677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</w:tr>
      <w:tr w:rsidR="00CE345E" w:rsidRPr="00E842DB" w14:paraId="7EE65337" w14:textId="5BE7ED36" w:rsidTr="00CE345E">
        <w:trPr>
          <w:trHeight w:val="454"/>
        </w:trPr>
        <w:tc>
          <w:tcPr>
            <w:tcW w:w="1794" w:type="dxa"/>
            <w:vAlign w:val="center"/>
          </w:tcPr>
          <w:p w14:paraId="1A56EFFE" w14:textId="23DCD754" w:rsidR="009B1C77" w:rsidRPr="00E842DB" w:rsidRDefault="009B1C77" w:rsidP="004118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80" w:type="dxa"/>
            <w:vAlign w:val="center"/>
          </w:tcPr>
          <w:p w14:paraId="1441AF2E" w14:textId="357FDD94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15" w:type="dxa"/>
            <w:vAlign w:val="center"/>
          </w:tcPr>
          <w:p w14:paraId="36EA2B43" w14:textId="7ADA0463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10" w:type="dxa"/>
            <w:vAlign w:val="center"/>
          </w:tcPr>
          <w:p w14:paraId="508A81FB" w14:textId="7952052E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45" w:type="dxa"/>
            <w:vAlign w:val="center"/>
          </w:tcPr>
          <w:p w14:paraId="6CA94F73" w14:textId="6D059E73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9" w:type="dxa"/>
            <w:vAlign w:val="center"/>
          </w:tcPr>
          <w:p w14:paraId="3659E3BE" w14:textId="557E9318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919" w:type="dxa"/>
            <w:vAlign w:val="center"/>
          </w:tcPr>
          <w:p w14:paraId="3182B855" w14:textId="246B2C88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78" w:type="dxa"/>
            <w:vAlign w:val="center"/>
          </w:tcPr>
          <w:p w14:paraId="6B8412C5" w14:textId="632041D5" w:rsidR="009B1C77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D800B1" w:rsidRPr="00E842DB" w14:paraId="018D46B4" w14:textId="44D10DD2" w:rsidTr="00C07444">
        <w:trPr>
          <w:trHeight w:val="454"/>
        </w:trPr>
        <w:tc>
          <w:tcPr>
            <w:tcW w:w="1794" w:type="dxa"/>
            <w:vAlign w:val="center"/>
          </w:tcPr>
          <w:p w14:paraId="651369FA" w14:textId="639AEEE8" w:rsidR="00D800B1" w:rsidRPr="00E842DB" w:rsidRDefault="00D800B1" w:rsidP="004118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80" w:type="dxa"/>
            <w:vAlign w:val="center"/>
          </w:tcPr>
          <w:p w14:paraId="34D5858C" w14:textId="5307F730" w:rsidR="00D800B1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15" w:type="dxa"/>
            <w:vAlign w:val="center"/>
          </w:tcPr>
          <w:p w14:paraId="7E710AA5" w14:textId="1EA04E60" w:rsidR="00D800B1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955" w:type="dxa"/>
            <w:gridSpan w:val="2"/>
            <w:vAlign w:val="center"/>
          </w:tcPr>
          <w:p w14:paraId="43C1FAF6" w14:textId="5E7A0973" w:rsidR="00D800B1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838" w:type="dxa"/>
            <w:gridSpan w:val="2"/>
            <w:vAlign w:val="center"/>
          </w:tcPr>
          <w:p w14:paraId="4E35D084" w14:textId="0856E89D" w:rsidR="00D800B1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78" w:type="dxa"/>
            <w:vAlign w:val="center"/>
          </w:tcPr>
          <w:p w14:paraId="230C0DAE" w14:textId="691CEFB1" w:rsidR="00D800B1" w:rsidRPr="00E842DB" w:rsidRDefault="00D800B1" w:rsidP="0088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DB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D800B1" w:rsidRPr="00E842DB" w14:paraId="2A2B7382" w14:textId="77777777" w:rsidTr="003023C4">
        <w:trPr>
          <w:trHeight w:val="454"/>
        </w:trPr>
        <w:tc>
          <w:tcPr>
            <w:tcW w:w="1794" w:type="dxa"/>
            <w:shd w:val="clear" w:color="auto" w:fill="FFF2CC" w:themeFill="accent4" w:themeFillTint="33"/>
            <w:vAlign w:val="center"/>
          </w:tcPr>
          <w:p w14:paraId="11626BD4" w14:textId="1264BC3F" w:rsidR="00D800B1" w:rsidRPr="00E842DB" w:rsidRDefault="00D800B1" w:rsidP="004118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80" w:type="dxa"/>
            <w:shd w:val="clear" w:color="auto" w:fill="FFF2CC" w:themeFill="accent4" w:themeFillTint="33"/>
            <w:vAlign w:val="center"/>
          </w:tcPr>
          <w:p w14:paraId="07CF4DFB" w14:textId="4EF86700" w:rsidR="00D800B1" w:rsidRPr="00E842DB" w:rsidRDefault="003023C4" w:rsidP="0088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1115" w:type="dxa"/>
            <w:shd w:val="clear" w:color="auto" w:fill="FFF2CC" w:themeFill="accent4" w:themeFillTint="33"/>
            <w:vAlign w:val="center"/>
          </w:tcPr>
          <w:p w14:paraId="36EF3EDF" w14:textId="7F6AA97D" w:rsidR="00D800B1" w:rsidRPr="00E842DB" w:rsidRDefault="003023C4" w:rsidP="0088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3 032</w:t>
            </w:r>
          </w:p>
        </w:tc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14:paraId="5B92974F" w14:textId="6B09E8C5" w:rsidR="00D800B1" w:rsidRPr="00E842DB" w:rsidRDefault="003023C4" w:rsidP="0088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3 105</w:t>
            </w:r>
          </w:p>
        </w:tc>
        <w:tc>
          <w:tcPr>
            <w:tcW w:w="1838" w:type="dxa"/>
            <w:gridSpan w:val="2"/>
            <w:shd w:val="clear" w:color="auto" w:fill="FFF2CC" w:themeFill="accent4" w:themeFillTint="33"/>
            <w:vAlign w:val="center"/>
          </w:tcPr>
          <w:p w14:paraId="67794B88" w14:textId="198BB612" w:rsidR="00D800B1" w:rsidRPr="00E842DB" w:rsidRDefault="003023C4" w:rsidP="0088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4 929</w:t>
            </w: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14:paraId="33539FEF" w14:textId="310B8E8E" w:rsidR="00D800B1" w:rsidRPr="00E842DB" w:rsidRDefault="003023C4" w:rsidP="0088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2DB">
              <w:rPr>
                <w:rFonts w:ascii="Arial" w:hAnsi="Arial" w:cs="Arial"/>
                <w:b/>
                <w:bCs/>
                <w:sz w:val="20"/>
                <w:szCs w:val="20"/>
              </w:rPr>
              <w:t>3 031</w:t>
            </w:r>
          </w:p>
        </w:tc>
      </w:tr>
    </w:tbl>
    <w:p w14:paraId="0175FA5F" w14:textId="77777777" w:rsidR="004E7E6D" w:rsidRPr="003023C4" w:rsidRDefault="004E7E6D" w:rsidP="00411830">
      <w:pPr>
        <w:jc w:val="both"/>
        <w:rPr>
          <w:rFonts w:ascii="Arial" w:hAnsi="Arial" w:cs="Arial"/>
        </w:rPr>
      </w:pPr>
    </w:p>
    <w:p w14:paraId="050AD30D" w14:textId="78A88DBC" w:rsidR="00D439B4" w:rsidRPr="009E77F2" w:rsidRDefault="00A1003D" w:rsidP="009E77F2">
      <w:pPr>
        <w:jc w:val="both"/>
        <w:rPr>
          <w:rFonts w:ascii="Arial" w:hAnsi="Arial" w:cs="Arial"/>
        </w:rPr>
      </w:pPr>
      <w:r w:rsidRPr="003023C4">
        <w:rPr>
          <w:rFonts w:ascii="Arial" w:hAnsi="Arial" w:cs="Arial"/>
        </w:rPr>
        <w:t>Dane wskazują, iż najczęściej leczonym nowotworem w ramach pilotażu sieci onkologicznej jest nowotwór piersi (ICD-10: C50 oraz D05), natomiast najrzadziej nowotwór jajnika (ICD-10 C56).</w:t>
      </w:r>
    </w:p>
    <w:p w14:paraId="5598E28E" w14:textId="2AA076A6" w:rsidR="009E77F2" w:rsidRPr="004F4D00" w:rsidRDefault="002B7909" w:rsidP="004F4D00">
      <w:pPr>
        <w:spacing w:before="240" w:after="1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4F4D00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EFEKTY PILOTAŻU</w:t>
      </w:r>
    </w:p>
    <w:p w14:paraId="5C36F884" w14:textId="77777777" w:rsidR="002B7909" w:rsidRDefault="002B7909" w:rsidP="009E77F2">
      <w:pPr>
        <w:pStyle w:val="Akapitzlist"/>
        <w:numPr>
          <w:ilvl w:val="0"/>
          <w:numId w:val="26"/>
        </w:numPr>
        <w:tabs>
          <w:tab w:val="left" w:pos="1710"/>
        </w:tabs>
        <w:spacing w:before="240"/>
        <w:jc w:val="both"/>
        <w:rPr>
          <w:rFonts w:ascii="Arial" w:hAnsi="Arial" w:cs="Arial"/>
        </w:rPr>
      </w:pPr>
      <w:r w:rsidRPr="00AA6CCC">
        <w:rPr>
          <w:rFonts w:ascii="Arial" w:hAnsi="Arial" w:cs="Arial"/>
        </w:rPr>
        <w:t>Wdrożenie infolinii onkologicznej,</w:t>
      </w:r>
    </w:p>
    <w:p w14:paraId="43E8C82E" w14:textId="77777777" w:rsidR="002B7909" w:rsidRPr="00AA6CCC" w:rsidRDefault="002B7909" w:rsidP="002B7909">
      <w:pPr>
        <w:pStyle w:val="Akapitzlist"/>
        <w:numPr>
          <w:ilvl w:val="0"/>
          <w:numId w:val="26"/>
        </w:numPr>
        <w:tabs>
          <w:tab w:val="left" w:pos="1710"/>
        </w:tabs>
        <w:jc w:val="both"/>
        <w:rPr>
          <w:rFonts w:ascii="Arial" w:hAnsi="Arial" w:cs="Arial"/>
        </w:rPr>
      </w:pPr>
      <w:r w:rsidRPr="00AA6CCC">
        <w:rPr>
          <w:rFonts w:ascii="Arial" w:hAnsi="Arial" w:cs="Arial"/>
        </w:rPr>
        <w:t>Zmniejszenie czasu oczekiwania na przyjęcie do poradni onkologicznej,</w:t>
      </w:r>
    </w:p>
    <w:p w14:paraId="54545996" w14:textId="77777777" w:rsidR="002B7909" w:rsidRPr="00AA6CCC" w:rsidRDefault="002B7909" w:rsidP="002B7909">
      <w:pPr>
        <w:pStyle w:val="Akapitzlist"/>
        <w:numPr>
          <w:ilvl w:val="0"/>
          <w:numId w:val="26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Skrócenie czasu oczekiwania na wyniki badań,</w:t>
      </w:r>
    </w:p>
    <w:p w14:paraId="42FDB745" w14:textId="77777777" w:rsidR="002B7909" w:rsidRPr="00AA6CCC" w:rsidRDefault="002B7909" w:rsidP="002B7909">
      <w:pPr>
        <w:pStyle w:val="Akapitzlist"/>
        <w:numPr>
          <w:ilvl w:val="0"/>
          <w:numId w:val="26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koordynatora na każdym etapie opieki,</w:t>
      </w:r>
    </w:p>
    <w:p w14:paraId="1A6C9B80" w14:textId="77777777" w:rsidR="002B7909" w:rsidRPr="00AA6CCC" w:rsidRDefault="002B7909" w:rsidP="002B7909">
      <w:pPr>
        <w:pStyle w:val="Akapitzlist"/>
        <w:numPr>
          <w:ilvl w:val="0"/>
          <w:numId w:val="26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standaryzacji procesu leczenia pacjenta onkologicznego,</w:t>
      </w:r>
    </w:p>
    <w:p w14:paraId="53963146" w14:textId="77777777" w:rsidR="002B7909" w:rsidRPr="00AA6CCC" w:rsidRDefault="002B7909" w:rsidP="002B7909">
      <w:pPr>
        <w:pStyle w:val="Akapitzlist"/>
        <w:numPr>
          <w:ilvl w:val="0"/>
          <w:numId w:val="26"/>
        </w:numPr>
        <w:tabs>
          <w:tab w:val="left" w:pos="1710"/>
        </w:tabs>
        <w:jc w:val="both"/>
        <w:rPr>
          <w:rFonts w:ascii="Arial" w:hAnsi="Arial" w:cs="Arial"/>
        </w:rPr>
      </w:pPr>
      <w:r w:rsidRPr="00AA6CCC">
        <w:rPr>
          <w:rFonts w:ascii="Arial" w:hAnsi="Arial" w:cs="Arial"/>
        </w:rPr>
        <w:t>Wprowadzenie analizy kompletności diagnostyki oraz histopatologii,</w:t>
      </w:r>
    </w:p>
    <w:p w14:paraId="43ED37FA" w14:textId="77777777" w:rsidR="002B7909" w:rsidRPr="00AA6CCC" w:rsidRDefault="002B7909" w:rsidP="002B7909">
      <w:pPr>
        <w:pStyle w:val="Akapitzlist"/>
        <w:numPr>
          <w:ilvl w:val="0"/>
          <w:numId w:val="26"/>
        </w:numPr>
        <w:tabs>
          <w:tab w:val="left" w:pos="1710"/>
        </w:tabs>
        <w:jc w:val="both"/>
        <w:rPr>
          <w:rFonts w:ascii="Arial" w:hAnsi="Arial" w:cs="Arial"/>
        </w:rPr>
      </w:pPr>
      <w:r w:rsidRPr="00AA6CCC">
        <w:rPr>
          <w:rFonts w:ascii="Arial" w:hAnsi="Arial" w:cs="Arial"/>
        </w:rPr>
        <w:t>W</w:t>
      </w:r>
      <w:r>
        <w:rPr>
          <w:rFonts w:ascii="Arial" w:hAnsi="Arial" w:cs="Arial"/>
        </w:rPr>
        <w:t>prowadzenie pierwszego ściśle zaplanowanego systemu monitorowania jakości w onkologii w Polsce,</w:t>
      </w:r>
    </w:p>
    <w:p w14:paraId="7E893AB9" w14:textId="77777777" w:rsidR="002B7909" w:rsidRPr="00AA6CCC" w:rsidRDefault="002B7909" w:rsidP="002B7909">
      <w:pPr>
        <w:pStyle w:val="Akapitzlist"/>
        <w:numPr>
          <w:ilvl w:val="0"/>
          <w:numId w:val="26"/>
        </w:numPr>
        <w:tabs>
          <w:tab w:val="left" w:pos="1710"/>
        </w:tabs>
        <w:jc w:val="both"/>
        <w:rPr>
          <w:rFonts w:ascii="Arial" w:hAnsi="Arial" w:cs="Arial"/>
        </w:rPr>
      </w:pPr>
      <w:r w:rsidRPr="00AA6CCC">
        <w:rPr>
          <w:rFonts w:ascii="Arial" w:hAnsi="Arial" w:cs="Arial"/>
        </w:rPr>
        <w:t>I</w:t>
      </w:r>
      <w:r>
        <w:rPr>
          <w:rFonts w:ascii="Arial" w:hAnsi="Arial" w:cs="Arial"/>
        </w:rPr>
        <w:t>nformatyzacja opieki onkologicznej,</w:t>
      </w:r>
    </w:p>
    <w:p w14:paraId="00A90E71" w14:textId="4011E69C" w:rsidR="00924163" w:rsidRPr="00AA6CCC" w:rsidRDefault="002B7909" w:rsidP="002B7909">
      <w:pPr>
        <w:pStyle w:val="Akapitzlist"/>
        <w:numPr>
          <w:ilvl w:val="0"/>
          <w:numId w:val="26"/>
        </w:numPr>
        <w:tabs>
          <w:tab w:val="left" w:pos="1710"/>
        </w:tabs>
        <w:jc w:val="both"/>
        <w:rPr>
          <w:rFonts w:ascii="Arial" w:hAnsi="Arial" w:cs="Arial"/>
        </w:rPr>
      </w:pPr>
      <w:r w:rsidRPr="00AA6CCC">
        <w:rPr>
          <w:rFonts w:ascii="Arial" w:hAnsi="Arial" w:cs="Arial"/>
        </w:rPr>
        <w:t>W</w:t>
      </w:r>
      <w:r>
        <w:rPr>
          <w:rFonts w:ascii="Arial" w:hAnsi="Arial" w:cs="Arial"/>
        </w:rPr>
        <w:t>prowadzenie innowacji systemowych.</w:t>
      </w:r>
    </w:p>
    <w:p w14:paraId="529F0960" w14:textId="77777777" w:rsidR="002B7909" w:rsidRPr="005F2C8C" w:rsidRDefault="002B7909" w:rsidP="005F2C8C">
      <w:pPr>
        <w:pStyle w:val="Akapitzlist"/>
        <w:tabs>
          <w:tab w:val="left" w:pos="1710"/>
        </w:tabs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66AC4DF4" w14:textId="6DB9ED62" w:rsidR="00E64630" w:rsidRPr="005F2C8C" w:rsidRDefault="009F2A5A" w:rsidP="005F2C8C">
      <w:pPr>
        <w:pStyle w:val="Akapitzlist"/>
        <w:numPr>
          <w:ilvl w:val="0"/>
          <w:numId w:val="44"/>
        </w:numPr>
        <w:spacing w:before="120" w:after="1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ZMIANY ORGANIZACYJNE OPIEKI ONKOLOGICZNEJ</w:t>
      </w:r>
    </w:p>
    <w:p w14:paraId="204F5C88" w14:textId="3C6B9E61" w:rsidR="00DB107D" w:rsidRDefault="00DB107D" w:rsidP="00B06DC5">
      <w:p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Najważniejsze z</w:t>
      </w:r>
      <w:r w:rsidR="00B06DC5">
        <w:rPr>
          <w:rFonts w:ascii="Arial" w:hAnsi="Arial" w:cs="Arial"/>
        </w:rPr>
        <w:t>mian</w:t>
      </w:r>
      <w:r>
        <w:rPr>
          <w:rFonts w:ascii="Arial" w:hAnsi="Arial" w:cs="Arial"/>
        </w:rPr>
        <w:t>y</w:t>
      </w:r>
      <w:r w:rsidR="00B06DC5">
        <w:rPr>
          <w:rFonts w:ascii="Arial" w:hAnsi="Arial" w:cs="Arial"/>
        </w:rPr>
        <w:t xml:space="preserve"> organizacyjn</w:t>
      </w:r>
      <w:r>
        <w:rPr>
          <w:rFonts w:ascii="Arial" w:hAnsi="Arial" w:cs="Arial"/>
        </w:rPr>
        <w:t>e</w:t>
      </w:r>
      <w:r w:rsidR="00B06DC5">
        <w:rPr>
          <w:rFonts w:ascii="Arial" w:hAnsi="Arial" w:cs="Arial"/>
        </w:rPr>
        <w:t xml:space="preserve"> opieki onkologicznej </w:t>
      </w:r>
      <w:r>
        <w:rPr>
          <w:rFonts w:ascii="Arial" w:hAnsi="Arial" w:cs="Arial"/>
        </w:rPr>
        <w:t>poprawiające bezpieczeństwo oraz jakość leczenia onkologicznego obejmują:</w:t>
      </w:r>
    </w:p>
    <w:p w14:paraId="008EFA5E" w14:textId="2BC68B1F" w:rsidR="00DB107D" w:rsidRPr="00CC70B3" w:rsidRDefault="00B06DC5" w:rsidP="00CC70B3">
      <w:pPr>
        <w:pStyle w:val="Akapitzlist"/>
        <w:numPr>
          <w:ilvl w:val="0"/>
          <w:numId w:val="14"/>
        </w:numPr>
        <w:tabs>
          <w:tab w:val="left" w:pos="1710"/>
        </w:tabs>
        <w:jc w:val="both"/>
        <w:rPr>
          <w:rFonts w:ascii="Arial" w:hAnsi="Arial" w:cs="Arial"/>
        </w:rPr>
      </w:pPr>
      <w:r w:rsidRPr="00CC70B3">
        <w:rPr>
          <w:rFonts w:ascii="Arial" w:hAnsi="Arial" w:cs="Arial"/>
        </w:rPr>
        <w:t>w</w:t>
      </w:r>
      <w:r w:rsidR="009F2A5A" w:rsidRPr="00CC70B3">
        <w:rPr>
          <w:rFonts w:ascii="Arial" w:hAnsi="Arial" w:cs="Arial"/>
        </w:rPr>
        <w:t xml:space="preserve">prowadzenie </w:t>
      </w:r>
      <w:bookmarkStart w:id="2" w:name="_Hlk33087138"/>
      <w:r w:rsidR="009F2A5A" w:rsidRPr="00D439B4">
        <w:rPr>
          <w:rFonts w:ascii="Arial" w:hAnsi="Arial" w:cs="Arial"/>
          <w:b/>
          <w:bCs/>
        </w:rPr>
        <w:t>infolinii onkologicznej</w:t>
      </w:r>
      <w:r w:rsidR="009F2A5A" w:rsidRPr="00CC70B3">
        <w:rPr>
          <w:rFonts w:ascii="Arial" w:hAnsi="Arial" w:cs="Arial"/>
        </w:rPr>
        <w:t xml:space="preserve"> umożliwiając</w:t>
      </w:r>
      <w:r w:rsidR="00773BC8" w:rsidRPr="00CC70B3">
        <w:rPr>
          <w:rFonts w:ascii="Arial" w:hAnsi="Arial" w:cs="Arial"/>
        </w:rPr>
        <w:t>ej</w:t>
      </w:r>
      <w:r w:rsidR="009F2A5A" w:rsidRPr="00CC70B3">
        <w:rPr>
          <w:rFonts w:ascii="Arial" w:hAnsi="Arial" w:cs="Arial"/>
        </w:rPr>
        <w:t xml:space="preserve"> umawianie się pacjentów z</w:t>
      </w:r>
      <w:r w:rsidR="001830FF" w:rsidRPr="00CC70B3">
        <w:rPr>
          <w:rFonts w:ascii="Arial" w:hAnsi="Arial" w:cs="Arial"/>
        </w:rPr>
        <w:t> </w:t>
      </w:r>
      <w:r w:rsidR="009F2A5A" w:rsidRPr="00CC70B3">
        <w:rPr>
          <w:rFonts w:ascii="Arial" w:hAnsi="Arial" w:cs="Arial"/>
        </w:rPr>
        <w:t>podejrzeniem choroby nowotworowej na wizytę oraz sprawne zarządzanie terminami</w:t>
      </w:r>
      <w:bookmarkEnd w:id="2"/>
      <w:r w:rsidR="00DB107D">
        <w:rPr>
          <w:rFonts w:ascii="Arial" w:hAnsi="Arial" w:cs="Arial"/>
        </w:rPr>
        <w:t>,</w:t>
      </w:r>
      <w:r w:rsidRPr="00CC70B3">
        <w:rPr>
          <w:rFonts w:ascii="Arial" w:hAnsi="Arial" w:cs="Arial"/>
        </w:rPr>
        <w:t xml:space="preserve"> </w:t>
      </w:r>
    </w:p>
    <w:p w14:paraId="53049A2D" w14:textId="1B7175EB" w:rsidR="00DB107D" w:rsidRPr="00CC70B3" w:rsidRDefault="00DB107D" w:rsidP="00CC70B3">
      <w:pPr>
        <w:pStyle w:val="Akapitzlist"/>
        <w:numPr>
          <w:ilvl w:val="0"/>
          <w:numId w:val="14"/>
        </w:numPr>
        <w:tabs>
          <w:tab w:val="left" w:pos="1710"/>
        </w:tabs>
        <w:jc w:val="both"/>
        <w:rPr>
          <w:rFonts w:ascii="Arial" w:hAnsi="Arial" w:cs="Arial"/>
        </w:rPr>
      </w:pPr>
      <w:r w:rsidRPr="00D439B4">
        <w:rPr>
          <w:rFonts w:ascii="Arial" w:hAnsi="Arial" w:cs="Arial"/>
          <w:b/>
          <w:bCs/>
        </w:rPr>
        <w:t>p</w:t>
      </w:r>
      <w:r w:rsidR="009F2A5A" w:rsidRPr="00D439B4">
        <w:rPr>
          <w:rFonts w:ascii="Arial" w:hAnsi="Arial" w:cs="Arial"/>
          <w:b/>
          <w:bCs/>
        </w:rPr>
        <w:t>rzydzielenie koordynatora</w:t>
      </w:r>
      <w:r w:rsidR="009F2A5A" w:rsidRPr="00CC70B3">
        <w:rPr>
          <w:rFonts w:ascii="Arial" w:hAnsi="Arial" w:cs="Arial"/>
        </w:rPr>
        <w:t xml:space="preserve"> do każdego pacjenta na etapie pierwszej wizyty do</w:t>
      </w:r>
      <w:r w:rsidR="002509E8" w:rsidRPr="00CC70B3">
        <w:rPr>
          <w:rFonts w:ascii="Arial" w:hAnsi="Arial" w:cs="Arial"/>
        </w:rPr>
        <w:t> </w:t>
      </w:r>
      <w:r w:rsidR="009F2A5A" w:rsidRPr="00CC70B3">
        <w:rPr>
          <w:rFonts w:ascii="Arial" w:hAnsi="Arial" w:cs="Arial"/>
        </w:rPr>
        <w:t>momentu zakończenia</w:t>
      </w:r>
      <w:r w:rsidR="007E2E0F">
        <w:rPr>
          <w:rFonts w:ascii="Arial" w:hAnsi="Arial" w:cs="Arial"/>
        </w:rPr>
        <w:t xml:space="preserve"> leczenia</w:t>
      </w:r>
      <w:r>
        <w:rPr>
          <w:rFonts w:ascii="Arial" w:hAnsi="Arial" w:cs="Arial"/>
        </w:rPr>
        <w:t>, obejmującego opieką max liczbę 40</w:t>
      </w:r>
      <w:r w:rsidR="007E2E0F">
        <w:rPr>
          <w:rFonts w:ascii="Arial" w:hAnsi="Arial" w:cs="Arial"/>
        </w:rPr>
        <w:t> </w:t>
      </w:r>
      <w:r>
        <w:rPr>
          <w:rFonts w:ascii="Arial" w:hAnsi="Arial" w:cs="Arial"/>
        </w:rPr>
        <w:t>świadczeniobiorców,</w:t>
      </w:r>
    </w:p>
    <w:p w14:paraId="0D20A70A" w14:textId="7C5C466F" w:rsidR="00DB107D" w:rsidRPr="00CC70B3" w:rsidRDefault="00DB107D" w:rsidP="00CC70B3">
      <w:pPr>
        <w:pStyle w:val="Akapitzlist"/>
        <w:numPr>
          <w:ilvl w:val="0"/>
          <w:numId w:val="14"/>
        </w:numPr>
        <w:tabs>
          <w:tab w:val="left" w:pos="1710"/>
        </w:tabs>
        <w:jc w:val="both"/>
        <w:rPr>
          <w:rFonts w:ascii="Arial" w:hAnsi="Arial" w:cs="Arial"/>
        </w:rPr>
      </w:pPr>
      <w:r w:rsidRPr="00D439B4">
        <w:rPr>
          <w:rFonts w:ascii="Arial" w:hAnsi="Arial" w:cs="Arial"/>
          <w:b/>
          <w:bCs/>
        </w:rPr>
        <w:t>utworzenie</w:t>
      </w:r>
      <w:r w:rsidRPr="00CC70B3">
        <w:rPr>
          <w:rFonts w:ascii="Arial" w:hAnsi="Arial" w:cs="Arial"/>
        </w:rPr>
        <w:t xml:space="preserve"> </w:t>
      </w:r>
      <w:r w:rsidRPr="00D439B4">
        <w:rPr>
          <w:rFonts w:ascii="Arial" w:hAnsi="Arial" w:cs="Arial"/>
          <w:b/>
          <w:bCs/>
        </w:rPr>
        <w:t>konsyliów</w:t>
      </w:r>
      <w:r w:rsidRPr="00CC70B3">
        <w:rPr>
          <w:rFonts w:ascii="Arial" w:hAnsi="Arial" w:cs="Arial"/>
        </w:rPr>
        <w:t xml:space="preserve"> w</w:t>
      </w:r>
      <w:r w:rsidR="009F2A5A" w:rsidRPr="00CC70B3">
        <w:rPr>
          <w:rFonts w:ascii="Arial" w:hAnsi="Arial" w:cs="Arial"/>
        </w:rPr>
        <w:t>yjazdow</w:t>
      </w:r>
      <w:r>
        <w:rPr>
          <w:rFonts w:ascii="Arial" w:hAnsi="Arial" w:cs="Arial"/>
        </w:rPr>
        <w:t>ych</w:t>
      </w:r>
      <w:r w:rsidR="009F2A5A" w:rsidRPr="00CC70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podczas których określany jest stopień zaawansowania nowotworu złośliwego, </w:t>
      </w:r>
      <w:r w:rsidR="00DE049D">
        <w:rPr>
          <w:rFonts w:ascii="Arial" w:hAnsi="Arial" w:cs="Arial"/>
        </w:rPr>
        <w:t>warunkujący</w:t>
      </w:r>
      <w:r>
        <w:rPr>
          <w:rFonts w:ascii="Arial" w:hAnsi="Arial" w:cs="Arial"/>
        </w:rPr>
        <w:t xml:space="preserve"> wyznaczenie odpowiedniego planu leczenia onkologicznego,</w:t>
      </w:r>
    </w:p>
    <w:p w14:paraId="6D18D968" w14:textId="47F1A4CA" w:rsidR="00DB107D" w:rsidRPr="00CC70B3" w:rsidRDefault="00DB107D" w:rsidP="00CC70B3">
      <w:pPr>
        <w:pStyle w:val="Akapitzlist"/>
        <w:numPr>
          <w:ilvl w:val="0"/>
          <w:numId w:val="14"/>
        </w:numPr>
        <w:tabs>
          <w:tab w:val="left" w:pos="1710"/>
        </w:tabs>
        <w:jc w:val="both"/>
        <w:rPr>
          <w:rFonts w:ascii="Arial" w:hAnsi="Arial" w:cs="Arial"/>
        </w:rPr>
      </w:pPr>
      <w:r w:rsidRPr="00D439B4">
        <w:rPr>
          <w:rFonts w:ascii="Arial" w:hAnsi="Arial" w:cs="Arial"/>
          <w:b/>
          <w:bCs/>
        </w:rPr>
        <w:lastRenderedPageBreak/>
        <w:t>w</w:t>
      </w:r>
      <w:r w:rsidR="009F2A5A" w:rsidRPr="00D439B4">
        <w:rPr>
          <w:rFonts w:ascii="Arial" w:hAnsi="Arial" w:cs="Arial"/>
          <w:b/>
          <w:bCs/>
        </w:rPr>
        <w:t>spółprac</w:t>
      </w:r>
      <w:r w:rsidR="005F2C8C">
        <w:rPr>
          <w:rFonts w:ascii="Arial" w:hAnsi="Arial" w:cs="Arial"/>
          <w:b/>
          <w:bCs/>
        </w:rPr>
        <w:t>ę</w:t>
      </w:r>
      <w:r w:rsidR="009F2A5A" w:rsidRPr="00D439B4">
        <w:rPr>
          <w:rFonts w:ascii="Arial" w:hAnsi="Arial" w:cs="Arial"/>
          <w:b/>
          <w:bCs/>
        </w:rPr>
        <w:t xml:space="preserve"> ośrodków</w:t>
      </w:r>
      <w:r w:rsidR="009F2A5A" w:rsidRPr="00CC70B3">
        <w:rPr>
          <w:rFonts w:ascii="Arial" w:hAnsi="Arial" w:cs="Arial"/>
        </w:rPr>
        <w:t xml:space="preserve"> w sieci onkologicznej – kierowanie pacjenta do ośrodka, który jest przygotowany do leczenia danego nowotworu</w:t>
      </w:r>
      <w:r>
        <w:rPr>
          <w:rFonts w:ascii="Arial" w:hAnsi="Arial" w:cs="Arial"/>
        </w:rPr>
        <w:t>,</w:t>
      </w:r>
    </w:p>
    <w:p w14:paraId="5E7F8390" w14:textId="72E51717" w:rsidR="00DB107D" w:rsidRPr="00CC70B3" w:rsidRDefault="00DB107D" w:rsidP="00CC70B3">
      <w:pPr>
        <w:pStyle w:val="Akapitzlist"/>
        <w:numPr>
          <w:ilvl w:val="0"/>
          <w:numId w:val="14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09E8" w:rsidRPr="00CC70B3">
        <w:rPr>
          <w:rFonts w:ascii="Arial" w:hAnsi="Arial" w:cs="Arial"/>
        </w:rPr>
        <w:t>ykonywanie operacji</w:t>
      </w:r>
      <w:r w:rsidR="009F2A5A" w:rsidRPr="00CC70B3">
        <w:rPr>
          <w:rFonts w:ascii="Arial" w:hAnsi="Arial" w:cs="Arial"/>
        </w:rPr>
        <w:t xml:space="preserve"> w ośrodkach z odpowiednim doświadczeniem</w:t>
      </w:r>
      <w:r>
        <w:rPr>
          <w:rFonts w:ascii="Arial" w:hAnsi="Arial" w:cs="Arial"/>
        </w:rPr>
        <w:t xml:space="preserve">, </w:t>
      </w:r>
    </w:p>
    <w:p w14:paraId="184900DF" w14:textId="46F67EF1" w:rsidR="00304C1D" w:rsidRDefault="00DB107D" w:rsidP="004F4D00">
      <w:pPr>
        <w:pStyle w:val="Akapitzlist"/>
        <w:numPr>
          <w:ilvl w:val="0"/>
          <w:numId w:val="14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F2A5A" w:rsidRPr="00CC70B3">
        <w:rPr>
          <w:rFonts w:ascii="Arial" w:hAnsi="Arial" w:cs="Arial"/>
        </w:rPr>
        <w:t>prowadzenie oceny satysfakcji pacjenta</w:t>
      </w:r>
      <w:r w:rsidR="00DE049D">
        <w:rPr>
          <w:rFonts w:ascii="Arial" w:hAnsi="Arial" w:cs="Arial"/>
        </w:rPr>
        <w:t xml:space="preserve"> za pomocą ankiet.</w:t>
      </w:r>
    </w:p>
    <w:p w14:paraId="7970AC4E" w14:textId="77777777" w:rsidR="004F4D00" w:rsidRPr="004F4D00" w:rsidRDefault="004F4D00" w:rsidP="004F4D00">
      <w:pPr>
        <w:pStyle w:val="Akapitzlist"/>
        <w:tabs>
          <w:tab w:val="left" w:pos="1710"/>
        </w:tabs>
        <w:jc w:val="both"/>
        <w:rPr>
          <w:rFonts w:ascii="Arial" w:hAnsi="Arial" w:cs="Arial"/>
        </w:rPr>
      </w:pPr>
    </w:p>
    <w:p w14:paraId="794E5817" w14:textId="713C94E2" w:rsidR="00E64630" w:rsidRPr="005F2C8C" w:rsidRDefault="00556DDE" w:rsidP="005F2C8C">
      <w:pPr>
        <w:pStyle w:val="Akapitzlist"/>
        <w:numPr>
          <w:ilvl w:val="0"/>
          <w:numId w:val="44"/>
        </w:numPr>
        <w:spacing w:before="120" w:after="1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STANDARD</w:t>
      </w:r>
      <w:r w:rsidR="007E2E0F"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Y</w:t>
      </w:r>
      <w:r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JAKOŚCI OPIEKI ONKOLOGICZNEJ</w:t>
      </w:r>
    </w:p>
    <w:p w14:paraId="24BFD0AE" w14:textId="795F85CC" w:rsidR="00CD4876" w:rsidRPr="00CC70B3" w:rsidRDefault="00DE049D" w:rsidP="00CC7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Wprowadzone w ramach pilotażu s</w:t>
      </w:r>
      <w:r w:rsidR="00CD4876" w:rsidRPr="00CC70B3">
        <w:rPr>
          <w:rFonts w:ascii="Arial" w:hAnsi="Arial" w:cs="Arial"/>
        </w:rPr>
        <w:t xml:space="preserve">tandardy </w:t>
      </w:r>
      <w:r>
        <w:rPr>
          <w:rFonts w:ascii="Arial" w:hAnsi="Arial" w:cs="Arial"/>
        </w:rPr>
        <w:t xml:space="preserve">jakości opieki onkologicznej </w:t>
      </w:r>
      <w:r w:rsidR="00CD4876" w:rsidRPr="00CC70B3">
        <w:rPr>
          <w:rFonts w:ascii="Arial" w:hAnsi="Arial" w:cs="Arial"/>
        </w:rPr>
        <w:t>opierają się na</w:t>
      </w:r>
      <w:r w:rsidR="007E2E0F">
        <w:rPr>
          <w:rFonts w:ascii="Arial" w:hAnsi="Arial" w:cs="Arial"/>
        </w:rPr>
        <w:t> </w:t>
      </w:r>
      <w:r w:rsidR="00CD4876" w:rsidRPr="00CC70B3">
        <w:rPr>
          <w:rFonts w:ascii="Arial" w:hAnsi="Arial" w:cs="Arial"/>
        </w:rPr>
        <w:t>wytycznych międzynarodowych towarzystw</w:t>
      </w:r>
      <w:r w:rsidR="00340E6B" w:rsidRPr="00CC70B3">
        <w:rPr>
          <w:rFonts w:ascii="Arial" w:hAnsi="Arial" w:cs="Arial"/>
        </w:rPr>
        <w:t>.</w:t>
      </w:r>
    </w:p>
    <w:p w14:paraId="09302C4E" w14:textId="431805CC" w:rsidR="00340E6B" w:rsidRPr="00CC70B3" w:rsidRDefault="007E2E0F" w:rsidP="00CC7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Wprowadzona</w:t>
      </w:r>
      <w:r w:rsidR="00CA32D6">
        <w:rPr>
          <w:rFonts w:ascii="Arial" w:hAnsi="Arial" w:cs="Arial"/>
        </w:rPr>
        <w:t xml:space="preserve"> została standaryzacja </w:t>
      </w:r>
      <w:r w:rsidR="007144AA">
        <w:rPr>
          <w:rFonts w:ascii="Arial" w:hAnsi="Arial" w:cs="Arial"/>
        </w:rPr>
        <w:t xml:space="preserve">dokumentacji medycznej poprzez </w:t>
      </w:r>
      <w:r>
        <w:rPr>
          <w:rFonts w:ascii="Arial" w:hAnsi="Arial" w:cs="Arial"/>
        </w:rPr>
        <w:t>zastosowanie</w:t>
      </w:r>
      <w:r w:rsidR="00CA32D6">
        <w:rPr>
          <w:rFonts w:ascii="Arial" w:hAnsi="Arial" w:cs="Arial"/>
        </w:rPr>
        <w:t xml:space="preserve"> s</w:t>
      </w:r>
      <w:r w:rsidR="00340E6B" w:rsidRPr="00CC70B3">
        <w:rPr>
          <w:rFonts w:ascii="Arial" w:hAnsi="Arial" w:cs="Arial"/>
        </w:rPr>
        <w:t>zablon</w:t>
      </w:r>
      <w:r w:rsidR="007144AA">
        <w:rPr>
          <w:rFonts w:ascii="Arial" w:hAnsi="Arial" w:cs="Arial"/>
        </w:rPr>
        <w:t>ów oraz protokołów, umożliwiając</w:t>
      </w:r>
      <w:r>
        <w:rPr>
          <w:rFonts w:ascii="Arial" w:hAnsi="Arial" w:cs="Arial"/>
        </w:rPr>
        <w:t>ych</w:t>
      </w:r>
      <w:r w:rsidR="007144AA">
        <w:rPr>
          <w:rFonts w:ascii="Arial" w:hAnsi="Arial" w:cs="Arial"/>
        </w:rPr>
        <w:t xml:space="preserve"> porównanie wyników diagnostyki i leczenia oraz ujednolic</w:t>
      </w:r>
      <w:r>
        <w:rPr>
          <w:rFonts w:ascii="Arial" w:hAnsi="Arial" w:cs="Arial"/>
        </w:rPr>
        <w:t>enie</w:t>
      </w:r>
      <w:r w:rsidR="007144AA">
        <w:rPr>
          <w:rFonts w:ascii="Arial" w:hAnsi="Arial" w:cs="Arial"/>
        </w:rPr>
        <w:t xml:space="preserve"> spos</w:t>
      </w:r>
      <w:r>
        <w:rPr>
          <w:rFonts w:ascii="Arial" w:hAnsi="Arial" w:cs="Arial"/>
        </w:rPr>
        <w:t>obu</w:t>
      </w:r>
      <w:r w:rsidR="007144AA">
        <w:rPr>
          <w:rFonts w:ascii="Arial" w:hAnsi="Arial" w:cs="Arial"/>
        </w:rPr>
        <w:t xml:space="preserve"> postępowania w opiece nad pacjentem w ramach sieci onkologicznej. Szablony</w:t>
      </w:r>
      <w:r w:rsidR="00340E6B" w:rsidRPr="00CC70B3">
        <w:rPr>
          <w:rFonts w:ascii="Arial" w:hAnsi="Arial" w:cs="Arial"/>
        </w:rPr>
        <w:t xml:space="preserve"> zostały opracowane również dla konsyliów, które oceniają prawidłowo przeprowadzoną diagnostykę</w:t>
      </w:r>
      <w:r w:rsidR="00B454E2">
        <w:rPr>
          <w:rFonts w:ascii="Arial" w:hAnsi="Arial" w:cs="Arial"/>
        </w:rPr>
        <w:t xml:space="preserve"> (</w:t>
      </w:r>
      <w:r w:rsidR="00340E6B" w:rsidRPr="00CC70B3">
        <w:rPr>
          <w:rFonts w:ascii="Arial" w:hAnsi="Arial" w:cs="Arial"/>
        </w:rPr>
        <w:t>terminowość, prawidłowość wykonania</w:t>
      </w:r>
      <w:r w:rsidR="00B454E2">
        <w:rPr>
          <w:rFonts w:ascii="Arial" w:hAnsi="Arial" w:cs="Arial"/>
        </w:rPr>
        <w:t>)</w:t>
      </w:r>
      <w:r w:rsidR="00340E6B" w:rsidRPr="00CC70B3">
        <w:rPr>
          <w:rFonts w:ascii="Arial" w:hAnsi="Arial" w:cs="Arial"/>
        </w:rPr>
        <w:t>.</w:t>
      </w:r>
    </w:p>
    <w:p w14:paraId="396B23CC" w14:textId="4781D934" w:rsidR="00340E6B" w:rsidRPr="00CC70B3" w:rsidRDefault="00340E6B" w:rsidP="00CC70B3">
      <w:pPr>
        <w:jc w:val="both"/>
        <w:rPr>
          <w:rFonts w:ascii="Arial" w:hAnsi="Arial" w:cs="Arial"/>
        </w:rPr>
      </w:pPr>
      <w:r w:rsidRPr="00CC70B3">
        <w:rPr>
          <w:rFonts w:ascii="Arial" w:hAnsi="Arial" w:cs="Arial"/>
        </w:rPr>
        <w:t>Każdy etap ścieżki pacjenta podlega oceni</w:t>
      </w:r>
      <w:r w:rsidR="00B454E2">
        <w:rPr>
          <w:rFonts w:ascii="Arial" w:hAnsi="Arial" w:cs="Arial"/>
        </w:rPr>
        <w:t>e</w:t>
      </w:r>
      <w:r w:rsidR="007E2E0F">
        <w:rPr>
          <w:rFonts w:ascii="Arial" w:hAnsi="Arial" w:cs="Arial"/>
        </w:rPr>
        <w:t xml:space="preserve"> </w:t>
      </w:r>
      <w:r w:rsidRPr="00CC70B3">
        <w:rPr>
          <w:rFonts w:ascii="Arial" w:hAnsi="Arial" w:cs="Arial"/>
        </w:rPr>
        <w:t>prawidłowoś</w:t>
      </w:r>
      <w:r w:rsidR="007E2E0F">
        <w:rPr>
          <w:rFonts w:ascii="Arial" w:hAnsi="Arial" w:cs="Arial"/>
        </w:rPr>
        <w:t>ci</w:t>
      </w:r>
      <w:r w:rsidRPr="00CC70B3">
        <w:rPr>
          <w:rFonts w:ascii="Arial" w:hAnsi="Arial" w:cs="Arial"/>
        </w:rPr>
        <w:t xml:space="preserve"> diagnostyki i</w:t>
      </w:r>
      <w:r w:rsidR="004D05A7">
        <w:rPr>
          <w:rFonts w:ascii="Arial" w:hAnsi="Arial" w:cs="Arial"/>
        </w:rPr>
        <w:t xml:space="preserve"> </w:t>
      </w:r>
      <w:r w:rsidRPr="00CC70B3">
        <w:rPr>
          <w:rFonts w:ascii="Arial" w:hAnsi="Arial" w:cs="Arial"/>
        </w:rPr>
        <w:t xml:space="preserve">kompleksowości terapii. </w:t>
      </w:r>
    </w:p>
    <w:p w14:paraId="2EAB76AF" w14:textId="5E3CF1C0" w:rsidR="00137F8A" w:rsidRDefault="00B454E2" w:rsidP="00304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Wypracowanie modeli ścieżek terapeutycznych pacjentów, z równoczesnym ich wdrożeniem w ośrodkach terapeutycznych, a także w</w:t>
      </w:r>
      <w:r w:rsidR="00340E6B" w:rsidRPr="00CC70B3">
        <w:rPr>
          <w:rFonts w:ascii="Arial" w:hAnsi="Arial" w:cs="Arial"/>
        </w:rPr>
        <w:t xml:space="preserve">prowadzenie standardów </w:t>
      </w:r>
      <w:r>
        <w:rPr>
          <w:rFonts w:ascii="Arial" w:hAnsi="Arial" w:cs="Arial"/>
        </w:rPr>
        <w:t xml:space="preserve">ma na celu </w:t>
      </w:r>
      <w:r w:rsidR="00340E6B" w:rsidRPr="00CC70B3">
        <w:rPr>
          <w:rFonts w:ascii="Arial" w:hAnsi="Arial" w:cs="Arial"/>
        </w:rPr>
        <w:t>wyrównani</w:t>
      </w:r>
      <w:r>
        <w:rPr>
          <w:rFonts w:ascii="Arial" w:hAnsi="Arial" w:cs="Arial"/>
        </w:rPr>
        <w:t>e</w:t>
      </w:r>
      <w:r w:rsidR="00340E6B" w:rsidRPr="00CC70B3">
        <w:rPr>
          <w:rFonts w:ascii="Arial" w:hAnsi="Arial" w:cs="Arial"/>
        </w:rPr>
        <w:t xml:space="preserve"> poziomu leczenia i szans pacjentów na wyleczenie</w:t>
      </w:r>
      <w:r>
        <w:rPr>
          <w:rFonts w:ascii="Arial" w:hAnsi="Arial" w:cs="Arial"/>
        </w:rPr>
        <w:t>. P</w:t>
      </w:r>
      <w:r w:rsidR="00340E6B" w:rsidRPr="00CC70B3">
        <w:rPr>
          <w:rFonts w:ascii="Arial" w:hAnsi="Arial" w:cs="Arial"/>
        </w:rPr>
        <w:t>acjenci mają dostęp do leczenia o tym samym standardzie, niezależnie od miejsca zamieszkania.</w:t>
      </w:r>
    </w:p>
    <w:p w14:paraId="6313422B" w14:textId="77777777" w:rsidR="00304C1D" w:rsidRPr="00CC70B3" w:rsidRDefault="00304C1D" w:rsidP="00304C1D">
      <w:pPr>
        <w:spacing w:after="0"/>
        <w:jc w:val="both"/>
        <w:rPr>
          <w:rFonts w:ascii="Arial" w:hAnsi="Arial" w:cs="Arial"/>
        </w:rPr>
      </w:pPr>
    </w:p>
    <w:p w14:paraId="6C0758C1" w14:textId="5F160846" w:rsidR="00E64630" w:rsidRPr="005F2C8C" w:rsidRDefault="0022227A" w:rsidP="005F2C8C">
      <w:pPr>
        <w:pStyle w:val="Akapitzlist"/>
        <w:numPr>
          <w:ilvl w:val="0"/>
          <w:numId w:val="44"/>
        </w:numPr>
        <w:spacing w:before="120" w:after="1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OPRACOWAN</w:t>
      </w:r>
      <w:r w:rsidR="00B454E2"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E</w:t>
      </w:r>
      <w:r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DOKUMENT</w:t>
      </w:r>
      <w:r w:rsidR="00490B1F"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Y W RAMACH PILOTAŻU SIECI ONKOLOGICZNEJ</w:t>
      </w:r>
    </w:p>
    <w:p w14:paraId="1A4EAD8D" w14:textId="1BF04803" w:rsidR="007E2E0F" w:rsidRPr="00CC70B3" w:rsidRDefault="007E2E0F" w:rsidP="00CC70B3">
      <w:p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pilotażu sieci onkologicznej opracowano:</w:t>
      </w:r>
    </w:p>
    <w:p w14:paraId="4FFBB7AF" w14:textId="65409692" w:rsidR="0022227A" w:rsidRPr="00414C4E" w:rsidRDefault="007E2E0F" w:rsidP="00CC70B3">
      <w:pPr>
        <w:pStyle w:val="Akapitzlist"/>
        <w:numPr>
          <w:ilvl w:val="0"/>
          <w:numId w:val="15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22227A" w:rsidRPr="00414C4E">
        <w:rPr>
          <w:rFonts w:ascii="Arial" w:hAnsi="Arial" w:cs="Arial"/>
        </w:rPr>
        <w:t>cieżki pacjentów dla 5 nowotworów (rak piersi, płuca, jelita grubego, prostaty i jajnika)</w:t>
      </w:r>
      <w:r>
        <w:rPr>
          <w:rFonts w:ascii="Arial" w:hAnsi="Arial" w:cs="Arial"/>
        </w:rPr>
        <w:t>,</w:t>
      </w:r>
    </w:p>
    <w:p w14:paraId="06C29443" w14:textId="381DD2ED" w:rsidR="0022227A" w:rsidRPr="00414C4E" w:rsidRDefault="007E2E0F" w:rsidP="00CC70B3">
      <w:pPr>
        <w:pStyle w:val="Akapitzlist"/>
        <w:numPr>
          <w:ilvl w:val="0"/>
          <w:numId w:val="15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2227A" w:rsidRPr="00414C4E">
        <w:rPr>
          <w:rFonts w:ascii="Arial" w:hAnsi="Arial" w:cs="Arial"/>
        </w:rPr>
        <w:t>zór karty konsylium do oceny diagnostyki onkologicznej</w:t>
      </w:r>
      <w:r>
        <w:rPr>
          <w:rFonts w:ascii="Arial" w:hAnsi="Arial" w:cs="Arial"/>
        </w:rPr>
        <w:t>,</w:t>
      </w:r>
    </w:p>
    <w:p w14:paraId="71BE8017" w14:textId="075D52A7" w:rsidR="0022227A" w:rsidRPr="00414C4E" w:rsidRDefault="007E2E0F" w:rsidP="00CC70B3">
      <w:pPr>
        <w:pStyle w:val="Akapitzlist"/>
        <w:numPr>
          <w:ilvl w:val="0"/>
          <w:numId w:val="15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2227A" w:rsidRPr="00414C4E">
        <w:rPr>
          <w:rFonts w:ascii="Arial" w:hAnsi="Arial" w:cs="Arial"/>
        </w:rPr>
        <w:t>zór wytycznych dokumentacji d</w:t>
      </w:r>
      <w:r>
        <w:rPr>
          <w:rFonts w:ascii="Arial" w:hAnsi="Arial" w:cs="Arial"/>
        </w:rPr>
        <w:t>o</w:t>
      </w:r>
      <w:r w:rsidR="0022227A" w:rsidRPr="00414C4E">
        <w:rPr>
          <w:rFonts w:ascii="Arial" w:hAnsi="Arial" w:cs="Arial"/>
        </w:rPr>
        <w:t xml:space="preserve"> konsyliów – rak jajnika, rak jelita grubego, rak piersi, rak płuc, rak prostaty</w:t>
      </w:r>
      <w:r>
        <w:rPr>
          <w:rFonts w:ascii="Arial" w:hAnsi="Arial" w:cs="Arial"/>
        </w:rPr>
        <w:t>,</w:t>
      </w:r>
    </w:p>
    <w:p w14:paraId="51DB438F" w14:textId="6C6ED9E8" w:rsidR="0022227A" w:rsidRPr="00414C4E" w:rsidRDefault="007E2E0F" w:rsidP="00CC70B3">
      <w:pPr>
        <w:pStyle w:val="Akapitzlist"/>
        <w:numPr>
          <w:ilvl w:val="0"/>
          <w:numId w:val="15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227A" w:rsidRPr="00414C4E">
        <w:rPr>
          <w:rFonts w:ascii="Arial" w:hAnsi="Arial" w:cs="Arial"/>
        </w:rPr>
        <w:t>rotokół badania histopatologicznego –</w:t>
      </w:r>
      <w:r w:rsidR="00080528" w:rsidRPr="00414C4E">
        <w:rPr>
          <w:rFonts w:ascii="Arial" w:hAnsi="Arial" w:cs="Arial"/>
        </w:rPr>
        <w:t xml:space="preserve"> </w:t>
      </w:r>
      <w:r w:rsidR="0022227A" w:rsidRPr="00414C4E">
        <w:rPr>
          <w:rFonts w:ascii="Arial" w:hAnsi="Arial" w:cs="Arial"/>
        </w:rPr>
        <w:t>rak jajnika, rak jelita grubego, rak piersi, rak płuc</w:t>
      </w:r>
      <w:r w:rsidR="007027C7">
        <w:rPr>
          <w:rFonts w:ascii="Arial" w:hAnsi="Arial" w:cs="Arial"/>
        </w:rPr>
        <w:t>a</w:t>
      </w:r>
      <w:r w:rsidR="0022227A" w:rsidRPr="00414C4E">
        <w:rPr>
          <w:rFonts w:ascii="Arial" w:hAnsi="Arial" w:cs="Arial"/>
        </w:rPr>
        <w:t>, rak prostaty, płyn opłucnowy</w:t>
      </w:r>
      <w:r>
        <w:rPr>
          <w:rFonts w:ascii="Arial" w:hAnsi="Arial" w:cs="Arial"/>
        </w:rPr>
        <w:t>,</w:t>
      </w:r>
    </w:p>
    <w:p w14:paraId="338A71BB" w14:textId="6EBE6A9B" w:rsidR="0022227A" w:rsidRPr="00414C4E" w:rsidRDefault="007E2E0F" w:rsidP="00CC70B3">
      <w:pPr>
        <w:pStyle w:val="Akapitzlist"/>
        <w:numPr>
          <w:ilvl w:val="0"/>
          <w:numId w:val="15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227A" w:rsidRPr="00414C4E">
        <w:rPr>
          <w:rFonts w:ascii="Arial" w:hAnsi="Arial" w:cs="Arial"/>
        </w:rPr>
        <w:t>rotokół badania radiologiczno-histopatologicznego próbek pobranych z gruczołu piersiowego metodą BGRBGWP</w:t>
      </w:r>
      <w:r>
        <w:rPr>
          <w:rFonts w:ascii="Arial" w:hAnsi="Arial" w:cs="Arial"/>
        </w:rPr>
        <w:t>,</w:t>
      </w:r>
    </w:p>
    <w:p w14:paraId="6139ECD9" w14:textId="75FEFB74" w:rsidR="0022227A" w:rsidRPr="00414C4E" w:rsidRDefault="007E2E0F" w:rsidP="00CC70B3">
      <w:pPr>
        <w:pStyle w:val="Akapitzlist"/>
        <w:numPr>
          <w:ilvl w:val="0"/>
          <w:numId w:val="15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227A" w:rsidRPr="00414C4E">
        <w:rPr>
          <w:rFonts w:ascii="Arial" w:hAnsi="Arial" w:cs="Arial"/>
        </w:rPr>
        <w:t>zablon radiologiczny – jajnik, jelito grube, prostata, rak płuca</w:t>
      </w:r>
      <w:r>
        <w:rPr>
          <w:rFonts w:ascii="Arial" w:hAnsi="Arial" w:cs="Arial"/>
        </w:rPr>
        <w:t>,</w:t>
      </w:r>
    </w:p>
    <w:p w14:paraId="017D9694" w14:textId="4F044740" w:rsidR="00340E6B" w:rsidRDefault="007E2E0F" w:rsidP="00CC70B3">
      <w:pPr>
        <w:pStyle w:val="Akapitzlist"/>
        <w:numPr>
          <w:ilvl w:val="0"/>
          <w:numId w:val="15"/>
        </w:num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227A" w:rsidRPr="00414C4E">
        <w:rPr>
          <w:rFonts w:ascii="Arial" w:hAnsi="Arial" w:cs="Arial"/>
        </w:rPr>
        <w:t>rotokół operacyjny raka jajnika.</w:t>
      </w:r>
    </w:p>
    <w:p w14:paraId="722E327F" w14:textId="77777777" w:rsidR="002B7909" w:rsidRDefault="002B7909" w:rsidP="005F2C8C">
      <w:pPr>
        <w:pStyle w:val="Akapitzlist"/>
        <w:tabs>
          <w:tab w:val="left" w:pos="1710"/>
        </w:tabs>
        <w:jc w:val="both"/>
        <w:rPr>
          <w:rFonts w:ascii="Arial" w:hAnsi="Arial" w:cs="Arial"/>
        </w:rPr>
      </w:pPr>
    </w:p>
    <w:p w14:paraId="726F06BE" w14:textId="75F96417" w:rsidR="00E64630" w:rsidRPr="005F2C8C" w:rsidRDefault="00B25132" w:rsidP="005F2C8C">
      <w:pPr>
        <w:pStyle w:val="Akapitzlist"/>
        <w:numPr>
          <w:ilvl w:val="0"/>
          <w:numId w:val="44"/>
        </w:numPr>
        <w:spacing w:before="120" w:after="1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5F2C8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SYSTEM MONITOROWANIA JAKOŚCI</w:t>
      </w:r>
    </w:p>
    <w:p w14:paraId="20DF0C62" w14:textId="27EAC9A5" w:rsidR="007033C8" w:rsidRDefault="007033C8" w:rsidP="00B25132">
      <w:p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sieci onkologicznej wprowadzono p</w:t>
      </w:r>
      <w:r w:rsidRPr="00F17058">
        <w:rPr>
          <w:rFonts w:ascii="Arial" w:hAnsi="Arial" w:cs="Arial"/>
        </w:rPr>
        <w:t>ierwszy w Polsce system monitorowania jakości, który praktycznie w czasie rzeczywistym pokazuje jak przebiega ścieżka pacjenta i czy przebiega w sposób prawidłowy.</w:t>
      </w:r>
      <w:r w:rsidRPr="00490B1F">
        <w:t xml:space="preserve"> </w:t>
      </w:r>
      <w:r w:rsidRPr="00490B1F">
        <w:rPr>
          <w:rFonts w:ascii="Arial" w:hAnsi="Arial" w:cs="Arial"/>
        </w:rPr>
        <w:t xml:space="preserve">System pomiaru jakości monitoruje </w:t>
      </w:r>
      <w:r>
        <w:rPr>
          <w:rFonts w:ascii="Arial" w:hAnsi="Arial" w:cs="Arial"/>
        </w:rPr>
        <w:t>terminowość</w:t>
      </w:r>
      <w:r w:rsidRPr="00490B1F">
        <w:rPr>
          <w:rFonts w:ascii="Arial" w:hAnsi="Arial" w:cs="Arial"/>
        </w:rPr>
        <w:t xml:space="preserve"> badań – można ocenić ile dokładnie pacjent czekał na opis wyniku badania.</w:t>
      </w:r>
      <w:r w:rsidRPr="00490B1F">
        <w:t xml:space="preserve"> </w:t>
      </w:r>
      <w:r w:rsidRPr="00490B1F">
        <w:rPr>
          <w:rFonts w:ascii="Arial" w:hAnsi="Arial" w:cs="Arial"/>
        </w:rPr>
        <w:t>Pomiar jakości jest stały, w związku z czym można obserwować trend/zmiany oraz realnie oceniać jakość i porównywać ze sobą ośrodki.</w:t>
      </w:r>
    </w:p>
    <w:p w14:paraId="18AFF089" w14:textId="717AEFF7" w:rsidR="00490B1F" w:rsidRDefault="00B25132" w:rsidP="00490B1F">
      <w:pPr>
        <w:tabs>
          <w:tab w:val="left" w:pos="1710"/>
        </w:tabs>
        <w:jc w:val="both"/>
        <w:rPr>
          <w:rFonts w:ascii="Arial" w:hAnsi="Arial" w:cs="Arial"/>
        </w:rPr>
      </w:pPr>
      <w:r w:rsidRPr="00414C4E">
        <w:rPr>
          <w:rFonts w:ascii="Arial" w:hAnsi="Arial" w:cs="Arial"/>
        </w:rPr>
        <w:t>Świadomość monitorowania placówki oraz nałożenie na nią obowiązku sprawozdawania danych klinicznych do NFZ za pośrednictwem W</w:t>
      </w:r>
      <w:r w:rsidR="001E3FD1" w:rsidRPr="00414C4E">
        <w:rPr>
          <w:rFonts w:ascii="Arial" w:hAnsi="Arial" w:cs="Arial"/>
        </w:rPr>
        <w:t>ojewódzkiego Ośrodka Koordynuj</w:t>
      </w:r>
      <w:r w:rsidR="00414C4E">
        <w:rPr>
          <w:rFonts w:ascii="Arial" w:hAnsi="Arial" w:cs="Arial"/>
        </w:rPr>
        <w:t>ą</w:t>
      </w:r>
      <w:r w:rsidR="001E3FD1" w:rsidRPr="00414C4E">
        <w:rPr>
          <w:rFonts w:ascii="Arial" w:hAnsi="Arial" w:cs="Arial"/>
        </w:rPr>
        <w:t>cego</w:t>
      </w:r>
      <w:r w:rsidRPr="00414C4E">
        <w:rPr>
          <w:rFonts w:ascii="Arial" w:hAnsi="Arial" w:cs="Arial"/>
        </w:rPr>
        <w:t xml:space="preserve"> powoduje, że ośrodki włączone do pilotażu czują na sobie większą presję, a w związku z tym dokładają większej staranności przy diagnozowaniu i leczeniu pacjenta (większy porządek </w:t>
      </w:r>
      <w:r w:rsidRPr="00414C4E">
        <w:rPr>
          <w:rFonts w:ascii="Arial" w:hAnsi="Arial" w:cs="Arial"/>
        </w:rPr>
        <w:lastRenderedPageBreak/>
        <w:t>w</w:t>
      </w:r>
      <w:r w:rsidR="00414C4E">
        <w:rPr>
          <w:rFonts w:ascii="Arial" w:hAnsi="Arial" w:cs="Arial"/>
        </w:rPr>
        <w:t> </w:t>
      </w:r>
      <w:r w:rsidRPr="00414C4E">
        <w:rPr>
          <w:rFonts w:ascii="Arial" w:hAnsi="Arial" w:cs="Arial"/>
        </w:rPr>
        <w:t>dokumentacji medycznej, pilnowanie by pacjent podczas diagnostyki miał zlecone wszystkie niezbędne badania – zgodne ze ścieżkami pacjentów</w:t>
      </w:r>
      <w:r w:rsidR="007033C8">
        <w:rPr>
          <w:rFonts w:ascii="Arial" w:hAnsi="Arial" w:cs="Arial"/>
        </w:rPr>
        <w:t xml:space="preserve">, </w:t>
      </w:r>
      <w:proofErr w:type="spellStart"/>
      <w:r w:rsidRPr="00414C4E">
        <w:rPr>
          <w:rFonts w:ascii="Arial" w:hAnsi="Arial" w:cs="Arial"/>
        </w:rPr>
        <w:t>checklistami</w:t>
      </w:r>
      <w:proofErr w:type="spellEnd"/>
      <w:r w:rsidRPr="00414C4E">
        <w:rPr>
          <w:rFonts w:ascii="Arial" w:hAnsi="Arial" w:cs="Arial"/>
        </w:rPr>
        <w:t xml:space="preserve"> itd.).</w:t>
      </w:r>
    </w:p>
    <w:p w14:paraId="1D60EE21" w14:textId="14ACAD3F" w:rsidR="00B25132" w:rsidRPr="00CC70B3" w:rsidRDefault="00490B1F" w:rsidP="00CC70B3">
      <w:pPr>
        <w:tabs>
          <w:tab w:val="left" w:pos="1710"/>
        </w:tabs>
        <w:jc w:val="both"/>
        <w:rPr>
          <w:rFonts w:ascii="Arial" w:hAnsi="Arial" w:cs="Arial"/>
        </w:rPr>
      </w:pPr>
      <w:r w:rsidRPr="00490B1F">
        <w:rPr>
          <w:rFonts w:ascii="Arial" w:hAnsi="Arial" w:cs="Arial"/>
        </w:rPr>
        <w:t>Pilotaż wprowadził standaryzację zbierania i analizy danych, będąc</w:t>
      </w:r>
      <w:r w:rsidR="00DC7617">
        <w:rPr>
          <w:rFonts w:ascii="Arial" w:hAnsi="Arial" w:cs="Arial"/>
        </w:rPr>
        <w:t>ą</w:t>
      </w:r>
      <w:r w:rsidRPr="00490B1F">
        <w:rPr>
          <w:rFonts w:ascii="Arial" w:hAnsi="Arial" w:cs="Arial"/>
        </w:rPr>
        <w:t xml:space="preserve"> podwaliną pod pierwsze rejestry narządowe w Polsce.</w:t>
      </w:r>
      <w:r w:rsidR="00DC7617">
        <w:rPr>
          <w:rFonts w:ascii="Arial" w:hAnsi="Arial" w:cs="Arial"/>
        </w:rPr>
        <w:t xml:space="preserve"> </w:t>
      </w:r>
      <w:r w:rsidR="001E3FD1" w:rsidRPr="00CC70B3">
        <w:rPr>
          <w:rFonts w:ascii="Arial" w:hAnsi="Arial" w:cs="Arial"/>
        </w:rPr>
        <w:t>Najważniejszą informacją gromadzoną w sieci onkologicznej w</w:t>
      </w:r>
      <w:r w:rsidR="00DC7617">
        <w:rPr>
          <w:rFonts w:ascii="Arial" w:hAnsi="Arial" w:cs="Arial"/>
        </w:rPr>
        <w:t> </w:t>
      </w:r>
      <w:r w:rsidR="001E3FD1" w:rsidRPr="00CC70B3">
        <w:rPr>
          <w:rFonts w:ascii="Arial" w:hAnsi="Arial" w:cs="Arial"/>
        </w:rPr>
        <w:t>sposób wystandaryzowany są</w:t>
      </w:r>
      <w:r w:rsidR="00DC7617">
        <w:rPr>
          <w:rFonts w:ascii="Arial" w:hAnsi="Arial" w:cs="Arial"/>
        </w:rPr>
        <w:t xml:space="preserve"> </w:t>
      </w:r>
      <w:r w:rsidR="001E3FD1" w:rsidRPr="00CC70B3">
        <w:rPr>
          <w:rFonts w:ascii="Arial" w:hAnsi="Arial" w:cs="Arial"/>
        </w:rPr>
        <w:t>wyniki badań histopatologicznych. Wyniki badań gromadzone są w formie raportów synoptycznych, czyli według określonych standardów zapisu oraz narządowo.</w:t>
      </w:r>
    </w:p>
    <w:p w14:paraId="7F5B0A83" w14:textId="12ABAECF" w:rsidR="00490B1F" w:rsidRPr="00CC70B3" w:rsidRDefault="001E3FD1" w:rsidP="00CC70B3">
      <w:pPr>
        <w:jc w:val="both"/>
        <w:rPr>
          <w:rFonts w:ascii="Arial" w:hAnsi="Arial" w:cs="Arial"/>
        </w:rPr>
      </w:pPr>
      <w:r w:rsidRPr="00CC70B3">
        <w:rPr>
          <w:rFonts w:ascii="Arial" w:hAnsi="Arial" w:cs="Arial"/>
        </w:rPr>
        <w:t>Dane o pacjencie obejmują informacje o stopniu zaawansowania choroby nowotworowej i</w:t>
      </w:r>
      <w:r w:rsidR="0091698E" w:rsidRPr="00CC70B3">
        <w:rPr>
          <w:rFonts w:ascii="Arial" w:hAnsi="Arial" w:cs="Arial"/>
        </w:rPr>
        <w:t> </w:t>
      </w:r>
      <w:r w:rsidRPr="00CC70B3">
        <w:rPr>
          <w:rFonts w:ascii="Arial" w:hAnsi="Arial" w:cs="Arial"/>
        </w:rPr>
        <w:t>stanie ogólnym pacjenta według klasyfikacji WHO.</w:t>
      </w:r>
      <w:r w:rsidR="00490B1F">
        <w:rPr>
          <w:rFonts w:ascii="Arial" w:hAnsi="Arial" w:cs="Arial"/>
        </w:rPr>
        <w:t xml:space="preserve"> </w:t>
      </w:r>
      <w:r w:rsidR="007B042D" w:rsidRPr="00CC70B3">
        <w:rPr>
          <w:rFonts w:ascii="Arial" w:hAnsi="Arial" w:cs="Arial"/>
        </w:rPr>
        <w:t>Ujednolicony schemat zapisu pozwala na</w:t>
      </w:r>
      <w:r w:rsidR="00DC7617">
        <w:rPr>
          <w:rFonts w:ascii="Arial" w:hAnsi="Arial" w:cs="Arial"/>
        </w:rPr>
        <w:t> </w:t>
      </w:r>
      <w:r w:rsidR="007B042D" w:rsidRPr="00CC70B3">
        <w:rPr>
          <w:rFonts w:ascii="Arial" w:hAnsi="Arial" w:cs="Arial"/>
        </w:rPr>
        <w:t>uniknięcie złej interpretacji wyniku i</w:t>
      </w:r>
      <w:r w:rsidR="004D05A7">
        <w:rPr>
          <w:rFonts w:ascii="Arial" w:hAnsi="Arial" w:cs="Arial"/>
        </w:rPr>
        <w:t xml:space="preserve"> </w:t>
      </w:r>
      <w:r w:rsidR="007B042D" w:rsidRPr="00CC70B3">
        <w:rPr>
          <w:rFonts w:ascii="Arial" w:hAnsi="Arial" w:cs="Arial"/>
        </w:rPr>
        <w:t>zredukowanie błędnych decyzji klinicznych.</w:t>
      </w:r>
    </w:p>
    <w:p w14:paraId="05FFEA08" w14:textId="7193FD93" w:rsidR="00127E94" w:rsidRPr="00CC70B3" w:rsidRDefault="00127E94" w:rsidP="00CC70B3">
      <w:pPr>
        <w:jc w:val="both"/>
        <w:rPr>
          <w:rFonts w:ascii="Arial" w:hAnsi="Arial" w:cs="Arial"/>
        </w:rPr>
      </w:pPr>
      <w:r w:rsidRPr="00CC70B3">
        <w:rPr>
          <w:rFonts w:ascii="Arial" w:hAnsi="Arial" w:cs="Arial"/>
        </w:rPr>
        <w:t>W</w:t>
      </w:r>
      <w:r w:rsidR="00490B1F">
        <w:rPr>
          <w:rFonts w:ascii="Arial" w:hAnsi="Arial" w:cs="Arial"/>
        </w:rPr>
        <w:t xml:space="preserve"> ramach oceny jakości opieki onkologicznej w</w:t>
      </w:r>
      <w:r w:rsidRPr="00CC70B3">
        <w:rPr>
          <w:rFonts w:ascii="Arial" w:hAnsi="Arial" w:cs="Arial"/>
        </w:rPr>
        <w:t>prowadzono:</w:t>
      </w:r>
    </w:p>
    <w:p w14:paraId="45C1EEFA" w14:textId="5BBB0529" w:rsidR="00127E94" w:rsidRPr="00CC70B3" w:rsidRDefault="00127E94" w:rsidP="00127E94">
      <w:pPr>
        <w:pStyle w:val="Akapitzlist"/>
        <w:numPr>
          <w:ilvl w:val="0"/>
          <w:numId w:val="11"/>
        </w:numPr>
        <w:tabs>
          <w:tab w:val="left" w:pos="1710"/>
        </w:tabs>
        <w:jc w:val="both"/>
        <w:rPr>
          <w:rFonts w:ascii="Arial" w:hAnsi="Arial" w:cs="Arial"/>
        </w:rPr>
      </w:pPr>
      <w:r w:rsidRPr="00CC70B3">
        <w:rPr>
          <w:rFonts w:ascii="Arial" w:hAnsi="Arial" w:cs="Arial"/>
        </w:rPr>
        <w:t>35 mierników</w:t>
      </w:r>
      <w:r w:rsidR="00D040AA">
        <w:rPr>
          <w:rFonts w:ascii="Arial" w:hAnsi="Arial" w:cs="Arial"/>
        </w:rPr>
        <w:t xml:space="preserve"> </w:t>
      </w:r>
      <w:r w:rsidR="00D040AA" w:rsidRPr="00D040AA">
        <w:rPr>
          <w:rFonts w:ascii="Arial" w:hAnsi="Arial" w:cs="Arial"/>
        </w:rPr>
        <w:t>+ ocena kompletności diagnostyki</w:t>
      </w:r>
      <w:r w:rsidR="00D040AA">
        <w:rPr>
          <w:rFonts w:ascii="Arial" w:hAnsi="Arial" w:cs="Arial"/>
        </w:rPr>
        <w:t>,</w:t>
      </w:r>
    </w:p>
    <w:p w14:paraId="3BF9BDE5" w14:textId="6C322539" w:rsidR="00127E94" w:rsidRDefault="00127E94" w:rsidP="00127E94">
      <w:pPr>
        <w:pStyle w:val="Akapitzlist"/>
        <w:numPr>
          <w:ilvl w:val="0"/>
          <w:numId w:val="11"/>
        </w:numPr>
        <w:tabs>
          <w:tab w:val="left" w:pos="1710"/>
        </w:tabs>
        <w:jc w:val="both"/>
        <w:rPr>
          <w:rFonts w:ascii="Arial" w:hAnsi="Arial" w:cs="Arial"/>
        </w:rPr>
      </w:pPr>
      <w:r w:rsidRPr="00CC70B3">
        <w:rPr>
          <w:rFonts w:ascii="Arial" w:hAnsi="Arial" w:cs="Arial"/>
        </w:rPr>
        <w:t>4</w:t>
      </w:r>
      <w:r w:rsidR="004229A9">
        <w:rPr>
          <w:rFonts w:ascii="Arial" w:hAnsi="Arial" w:cs="Arial"/>
        </w:rPr>
        <w:t>9</w:t>
      </w:r>
      <w:r w:rsidRPr="00CC70B3">
        <w:rPr>
          <w:rFonts w:ascii="Arial" w:hAnsi="Arial" w:cs="Arial"/>
        </w:rPr>
        <w:t xml:space="preserve"> kart oceny mierników</w:t>
      </w:r>
      <w:r w:rsidR="004229A9">
        <w:rPr>
          <w:rFonts w:ascii="Arial" w:hAnsi="Arial" w:cs="Arial"/>
        </w:rPr>
        <w:t>.</w:t>
      </w:r>
    </w:p>
    <w:p w14:paraId="11653D87" w14:textId="77777777" w:rsidR="004F4D00" w:rsidRDefault="004F4D00" w:rsidP="00865259">
      <w:pPr>
        <w:tabs>
          <w:tab w:val="left" w:pos="1710"/>
        </w:tabs>
        <w:jc w:val="both"/>
        <w:rPr>
          <w:rFonts w:ascii="Arial" w:hAnsi="Arial" w:cs="Arial"/>
          <w:color w:val="0070C0"/>
        </w:rPr>
      </w:pPr>
    </w:p>
    <w:p w14:paraId="2399D161" w14:textId="17040CA1" w:rsidR="00434B41" w:rsidRPr="00434B41" w:rsidRDefault="00434B41" w:rsidP="00865259">
      <w:pPr>
        <w:tabs>
          <w:tab w:val="left" w:pos="1710"/>
        </w:tabs>
        <w:jc w:val="both"/>
        <w:rPr>
          <w:rFonts w:ascii="Arial" w:hAnsi="Arial" w:cs="Arial"/>
          <w:color w:val="0070C0"/>
        </w:rPr>
      </w:pPr>
      <w:r w:rsidRPr="00434B41">
        <w:rPr>
          <w:rFonts w:ascii="Arial" w:hAnsi="Arial" w:cs="Arial"/>
          <w:color w:val="0070C0"/>
        </w:rPr>
        <w:t>Ocena opieki nad świadczeniobiorcą w ramach sieci onkologicznej jest prowadzona w</w:t>
      </w:r>
      <w:r w:rsidR="00EC6FFE">
        <w:rPr>
          <w:rFonts w:ascii="Arial" w:hAnsi="Arial" w:cs="Arial"/>
          <w:color w:val="0070C0"/>
        </w:rPr>
        <w:t> </w:t>
      </w:r>
      <w:r w:rsidRPr="00434B41">
        <w:rPr>
          <w:rFonts w:ascii="Arial" w:hAnsi="Arial" w:cs="Arial"/>
          <w:color w:val="0070C0"/>
        </w:rPr>
        <w:t>stosunku do świadczeniobiorców objętych pilotażem z uwzględnieniem następujących mierników:</w:t>
      </w:r>
    </w:p>
    <w:p w14:paraId="09263684" w14:textId="0EAE2AF2" w:rsidR="004229A9" w:rsidRPr="00434B41" w:rsidRDefault="004229A9" w:rsidP="00434B4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zgonów w okresie roku od rozpoznania nowotworu złośliwego, w podziale na</w:t>
      </w:r>
      <w:r w:rsidR="00304C1D">
        <w:rPr>
          <w:rFonts w:ascii="Arial" w:hAnsi="Arial" w:cs="Arial"/>
        </w:rPr>
        <w:t> </w:t>
      </w:r>
      <w:r w:rsidRPr="00434B41">
        <w:rPr>
          <w:rFonts w:ascii="Arial" w:hAnsi="Arial" w:cs="Arial"/>
        </w:rPr>
        <w:t>stopnie zaawansowania nowotworu;</w:t>
      </w:r>
    </w:p>
    <w:p w14:paraId="7746BFEA" w14:textId="3541A11E" w:rsidR="004229A9" w:rsidRPr="00434B41" w:rsidRDefault="004229A9" w:rsidP="00434B4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zgonów w okresie 30 dni od dnia przeprowadzenia zabiegu operacyjnego, w</w:t>
      </w:r>
      <w:r w:rsidR="00304C1D">
        <w:rPr>
          <w:rFonts w:ascii="Arial" w:hAnsi="Arial" w:cs="Arial"/>
        </w:rPr>
        <w:t> </w:t>
      </w:r>
      <w:r w:rsidRPr="00434B41">
        <w:rPr>
          <w:rFonts w:ascii="Arial" w:hAnsi="Arial" w:cs="Arial"/>
        </w:rPr>
        <w:t>podziale na stopnie zaawansowania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nowotworu;</w:t>
      </w:r>
    </w:p>
    <w:p w14:paraId="703D69F1" w14:textId="66048FAD" w:rsidR="004229A9" w:rsidRPr="00434B41" w:rsidRDefault="004229A9" w:rsidP="00434B4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zgonów w okresie 30 dni od dnia zakończenia chemioterapii, w podziale na</w:t>
      </w:r>
      <w:r w:rsidR="00304C1D">
        <w:rPr>
          <w:rFonts w:ascii="Arial" w:hAnsi="Arial" w:cs="Arial"/>
        </w:rPr>
        <w:t> </w:t>
      </w:r>
      <w:r w:rsidRPr="00434B41">
        <w:rPr>
          <w:rFonts w:ascii="Arial" w:hAnsi="Arial" w:cs="Arial"/>
        </w:rPr>
        <w:t>stopnie zaawansowania nowotworu;</w:t>
      </w:r>
    </w:p>
    <w:p w14:paraId="1381BE12" w14:textId="65210011" w:rsidR="004229A9" w:rsidRPr="00434B41" w:rsidRDefault="004229A9" w:rsidP="00434B4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zgonów w okresie 30 dni od dnia zakończenia radioterapii paliatywnej, w</w:t>
      </w:r>
      <w:r w:rsidR="00304C1D">
        <w:rPr>
          <w:rFonts w:ascii="Arial" w:hAnsi="Arial" w:cs="Arial"/>
        </w:rPr>
        <w:t> </w:t>
      </w:r>
      <w:r w:rsidRPr="00434B41">
        <w:rPr>
          <w:rFonts w:ascii="Arial" w:hAnsi="Arial" w:cs="Arial"/>
        </w:rPr>
        <w:t>podziale na stopnie zaawansowania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nowotworu;</w:t>
      </w:r>
    </w:p>
    <w:p w14:paraId="7365789A" w14:textId="0214C70C" w:rsidR="004229A9" w:rsidRPr="00434B41" w:rsidRDefault="005A0211" w:rsidP="00434B4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5A0211">
        <w:rPr>
          <w:rFonts w:ascii="Arial" w:hAnsi="Arial" w:cs="Arial"/>
        </w:rPr>
        <w:t>odsetka świadczeniobiorców wymagających ponownej hospitalizacji z powodu powikłań po leczeniu chirurgicznym</w:t>
      </w:r>
      <w:r w:rsidR="004229A9" w:rsidRPr="00434B41">
        <w:rPr>
          <w:rFonts w:ascii="Arial" w:hAnsi="Arial" w:cs="Arial"/>
        </w:rPr>
        <w:t>;</w:t>
      </w:r>
    </w:p>
    <w:p w14:paraId="16D09167" w14:textId="06981325" w:rsidR="004229A9" w:rsidRPr="005A0211" w:rsidRDefault="005A0211" w:rsidP="005A0211">
      <w:pPr>
        <w:pStyle w:val="Akapitzlist"/>
        <w:numPr>
          <w:ilvl w:val="0"/>
          <w:numId w:val="21"/>
        </w:numPr>
        <w:tabs>
          <w:tab w:val="left" w:pos="1710"/>
        </w:tabs>
        <w:jc w:val="both"/>
        <w:rPr>
          <w:rFonts w:ascii="Arial" w:hAnsi="Arial" w:cs="Arial"/>
        </w:rPr>
      </w:pPr>
      <w:r w:rsidRPr="005A0211">
        <w:rPr>
          <w:rFonts w:ascii="Arial" w:hAnsi="Arial" w:cs="Arial"/>
        </w:rPr>
        <w:t>odsetka świadczeniobiorców wymagających ponownej hospitalizacji z powodu powikłań po radioterapii</w:t>
      </w:r>
      <w:r>
        <w:rPr>
          <w:rFonts w:ascii="Arial" w:hAnsi="Arial" w:cs="Arial"/>
        </w:rPr>
        <w:t xml:space="preserve"> </w:t>
      </w:r>
      <w:r w:rsidRPr="005A0211">
        <w:rPr>
          <w:rFonts w:ascii="Arial" w:hAnsi="Arial" w:cs="Arial"/>
        </w:rPr>
        <w:t>onkologicznej;</w:t>
      </w:r>
    </w:p>
    <w:p w14:paraId="5A66CDCB" w14:textId="48C9F3BA" w:rsidR="004229A9" w:rsidRPr="00434B41" w:rsidRDefault="005A0211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5A0211">
        <w:rPr>
          <w:rFonts w:ascii="Arial" w:hAnsi="Arial" w:cs="Arial"/>
        </w:rPr>
        <w:t>odsetka świadczeniobiorców wymagających ponownej hospitalizacji z powodu powikłań po leczeniu systemowym</w:t>
      </w:r>
      <w:r w:rsidR="004229A9" w:rsidRPr="00434B41">
        <w:rPr>
          <w:rFonts w:ascii="Arial" w:hAnsi="Arial" w:cs="Arial"/>
        </w:rPr>
        <w:t>;</w:t>
      </w:r>
    </w:p>
    <w:p w14:paraId="34F1D97C" w14:textId="455DC899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świadczeniobiorców, którzy otrzymali chemioterapię w trybie hospitalizacji stacjonarnej;</w:t>
      </w:r>
    </w:p>
    <w:p w14:paraId="79719D52" w14:textId="1C4BAB95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 z III i IV stopniem zaawansowania nowotworu;</w:t>
      </w:r>
    </w:p>
    <w:p w14:paraId="16AD46A2" w14:textId="61D8CA0E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oceny kompletności badania patologicznego;</w:t>
      </w:r>
    </w:p>
    <w:p w14:paraId="107B6170" w14:textId="024FB877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świadczeniobiorców, u których wykonano badania genetycznych i</w:t>
      </w:r>
      <w:r w:rsidR="00304C1D">
        <w:rPr>
          <w:rFonts w:ascii="Arial" w:hAnsi="Arial" w:cs="Arial"/>
        </w:rPr>
        <w:t> </w:t>
      </w:r>
      <w:r w:rsidRPr="00434B41">
        <w:rPr>
          <w:rFonts w:ascii="Arial" w:hAnsi="Arial" w:cs="Arial"/>
        </w:rPr>
        <w:t>molekularnych czynników predykcyjnych;</w:t>
      </w:r>
    </w:p>
    <w:p w14:paraId="6855BC15" w14:textId="0FDC6F94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zabiegów operacyjnych wykonanych metodą małoinwazyjną;</w:t>
      </w:r>
    </w:p>
    <w:p w14:paraId="4FE71296" w14:textId="50E3F228" w:rsidR="004229A9" w:rsidRPr="005A0211" w:rsidRDefault="005A0211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5A0211">
        <w:rPr>
          <w:rFonts w:ascii="Arial" w:hAnsi="Arial" w:cs="Arial"/>
        </w:rPr>
        <w:t>mediany czasu, który upłynął od dnia zarejestrowania świadczeniobiorcy na badania diagnostyczne (obrazowe</w:t>
      </w:r>
      <w:r>
        <w:rPr>
          <w:rFonts w:ascii="Arial" w:hAnsi="Arial" w:cs="Arial"/>
        </w:rPr>
        <w:t xml:space="preserve"> </w:t>
      </w:r>
      <w:r w:rsidRPr="005A0211">
        <w:rPr>
          <w:rFonts w:ascii="Arial" w:hAnsi="Arial" w:cs="Arial"/>
        </w:rPr>
        <w:t>lub patomorfologiczne) do dnia uzyskania wyniku tego badania;</w:t>
      </w:r>
    </w:p>
    <w:p w14:paraId="74D36A63" w14:textId="7276FF10" w:rsidR="004229A9" w:rsidRPr="005A021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badań diagnostycznych powtórzonych w okresie 6 tygodni (tomografia komputerowa, endoskopia, biopsja,</w:t>
      </w:r>
      <w:r w:rsidR="005A0211">
        <w:rPr>
          <w:rFonts w:ascii="Arial" w:hAnsi="Arial" w:cs="Arial"/>
        </w:rPr>
        <w:t xml:space="preserve"> </w:t>
      </w:r>
      <w:r w:rsidRPr="005A0211">
        <w:rPr>
          <w:rFonts w:ascii="Arial" w:hAnsi="Arial" w:cs="Arial"/>
        </w:rPr>
        <w:t>ocena patomorfologiczna, ocena molekularna), wykazanego dla każdej z uczestniczących placówek w podziale na typ</w:t>
      </w:r>
      <w:r w:rsidR="00434B41" w:rsidRPr="005A0211">
        <w:rPr>
          <w:rFonts w:ascii="Arial" w:hAnsi="Arial" w:cs="Arial"/>
        </w:rPr>
        <w:t xml:space="preserve"> </w:t>
      </w:r>
      <w:r w:rsidRPr="005A0211">
        <w:rPr>
          <w:rFonts w:ascii="Arial" w:hAnsi="Arial" w:cs="Arial"/>
        </w:rPr>
        <w:t>nowotworu i</w:t>
      </w:r>
      <w:r w:rsidR="00304C1D">
        <w:rPr>
          <w:rFonts w:ascii="Arial" w:hAnsi="Arial" w:cs="Arial"/>
        </w:rPr>
        <w:t> </w:t>
      </w:r>
      <w:r w:rsidRPr="005A0211">
        <w:rPr>
          <w:rFonts w:ascii="Arial" w:hAnsi="Arial" w:cs="Arial"/>
        </w:rPr>
        <w:t>rodzaj badania;</w:t>
      </w:r>
    </w:p>
    <w:p w14:paraId="6DA5432F" w14:textId="0B5FA62D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odsetka powtórzonych zabiegów w </w:t>
      </w:r>
      <w:proofErr w:type="spellStart"/>
      <w:r w:rsidRPr="00434B41">
        <w:rPr>
          <w:rFonts w:ascii="Arial" w:hAnsi="Arial" w:cs="Arial"/>
        </w:rPr>
        <w:t>rozpoznaniach</w:t>
      </w:r>
      <w:proofErr w:type="spellEnd"/>
      <w:r w:rsidRPr="00434B41">
        <w:rPr>
          <w:rFonts w:ascii="Arial" w:hAnsi="Arial" w:cs="Arial"/>
        </w:rPr>
        <w:t xml:space="preserve"> innych niż nowotwór piersi;</w:t>
      </w:r>
    </w:p>
    <w:p w14:paraId="780F5F93" w14:textId="60535BCC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lastRenderedPageBreak/>
        <w:t>odsetka świadczeniobiorców z nowotworem odbytnicy, u których zastosowano radioterapię przedoperacyjną;</w:t>
      </w:r>
    </w:p>
    <w:p w14:paraId="298C1D81" w14:textId="0F121712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badań histopatologicznych pooperacyjnych u pacjentów z nowotworem jelita grubego, u których liczba ocenionych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węzłów chłonnych wynosiła co najmniej 12;</w:t>
      </w:r>
    </w:p>
    <w:p w14:paraId="7F54A172" w14:textId="77D57243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wystąpienia nieszczelności zespoleń w nowotworze okrężnicy i odbytnicy;</w:t>
      </w:r>
    </w:p>
    <w:p w14:paraId="6CC297F9" w14:textId="175522C4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oceny liczby węzłów chłonnych usuniętych w trakcie </w:t>
      </w:r>
      <w:proofErr w:type="spellStart"/>
      <w:r w:rsidRPr="00434B41">
        <w:rPr>
          <w:rFonts w:ascii="Arial" w:hAnsi="Arial" w:cs="Arial"/>
        </w:rPr>
        <w:t>prostatektomii</w:t>
      </w:r>
      <w:proofErr w:type="spellEnd"/>
      <w:r w:rsidRPr="00434B41">
        <w:rPr>
          <w:rFonts w:ascii="Arial" w:hAnsi="Arial" w:cs="Arial"/>
        </w:rPr>
        <w:t>;</w:t>
      </w:r>
    </w:p>
    <w:p w14:paraId="276933FE" w14:textId="7F57F3FD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odsetka </w:t>
      </w:r>
      <w:proofErr w:type="spellStart"/>
      <w:r w:rsidRPr="00434B41">
        <w:rPr>
          <w:rFonts w:ascii="Arial" w:hAnsi="Arial" w:cs="Arial"/>
        </w:rPr>
        <w:t>limfadenektomii</w:t>
      </w:r>
      <w:proofErr w:type="spellEnd"/>
      <w:r w:rsidRPr="00434B41">
        <w:rPr>
          <w:rFonts w:ascii="Arial" w:hAnsi="Arial" w:cs="Arial"/>
        </w:rPr>
        <w:t xml:space="preserve"> miednicznych wykonanych z podziałem materiału histopatologicznego według zakresów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anatomicznych;</w:t>
      </w:r>
    </w:p>
    <w:p w14:paraId="09FC6DE5" w14:textId="13A69877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ilości pozytywnych marginesów pooperacyjnych po </w:t>
      </w:r>
      <w:proofErr w:type="spellStart"/>
      <w:r w:rsidRPr="00434B41">
        <w:rPr>
          <w:rFonts w:ascii="Arial" w:hAnsi="Arial" w:cs="Arial"/>
        </w:rPr>
        <w:t>prostatektomii</w:t>
      </w:r>
      <w:proofErr w:type="spellEnd"/>
      <w:r w:rsidRPr="00434B41">
        <w:rPr>
          <w:rFonts w:ascii="Arial" w:hAnsi="Arial" w:cs="Arial"/>
        </w:rPr>
        <w:t>;</w:t>
      </w:r>
    </w:p>
    <w:p w14:paraId="7E82E383" w14:textId="2FA67C60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 z podejrzeniem nowotworu płuca, skonsultowanych przez pulmonologa w terminie do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14 dni roboczych od dnia zarejestrowania skierowania u</w:t>
      </w:r>
      <w:r w:rsidR="00304C1D">
        <w:rPr>
          <w:rFonts w:ascii="Arial" w:hAnsi="Arial" w:cs="Arial"/>
        </w:rPr>
        <w:t> </w:t>
      </w:r>
      <w:r w:rsidRPr="00434B41">
        <w:rPr>
          <w:rFonts w:ascii="Arial" w:hAnsi="Arial" w:cs="Arial"/>
        </w:rPr>
        <w:t>świadczeniodawcy;</w:t>
      </w:r>
    </w:p>
    <w:p w14:paraId="1F474C84" w14:textId="7FFA44FD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 z powiększeniem węzłów chłonnych śródpiersia powyżej 10 mm, u których wykonano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EBUS-TBNA;</w:t>
      </w:r>
    </w:p>
    <w:p w14:paraId="2FF1D53C" w14:textId="0ECF81B6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 z podejrzeniem nowotworu płuca i płynem w jamie opłucnej, u których rozpoznano etiologię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płynu;</w:t>
      </w:r>
    </w:p>
    <w:p w14:paraId="49679F2A" w14:textId="2190CDDA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odsetka świadczeniobiorców z III stopniem zaawansowania </w:t>
      </w:r>
      <w:proofErr w:type="spellStart"/>
      <w:r w:rsidRPr="00434B41">
        <w:rPr>
          <w:rFonts w:ascii="Arial" w:hAnsi="Arial" w:cs="Arial"/>
        </w:rPr>
        <w:t>niedrobnokomórkowego</w:t>
      </w:r>
      <w:proofErr w:type="spellEnd"/>
      <w:r w:rsidRPr="00434B41">
        <w:rPr>
          <w:rFonts w:ascii="Arial" w:hAnsi="Arial" w:cs="Arial"/>
        </w:rPr>
        <w:t xml:space="preserve"> nowotworu płuca, u których zastosowano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 xml:space="preserve">jednoczasową </w:t>
      </w:r>
      <w:proofErr w:type="spellStart"/>
      <w:r w:rsidRPr="00434B41">
        <w:rPr>
          <w:rFonts w:ascii="Arial" w:hAnsi="Arial" w:cs="Arial"/>
        </w:rPr>
        <w:t>chemioradioterapię</w:t>
      </w:r>
      <w:proofErr w:type="spellEnd"/>
      <w:r w:rsidRPr="00434B41">
        <w:rPr>
          <w:rFonts w:ascii="Arial" w:hAnsi="Arial" w:cs="Arial"/>
        </w:rPr>
        <w:t>;</w:t>
      </w:r>
    </w:p>
    <w:p w14:paraId="0B7E618D" w14:textId="0542B48D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odsetka świadczeniobiorców z nowotworem jajnika leczonych pierwotną optymalną lub suboptymalną </w:t>
      </w:r>
      <w:proofErr w:type="spellStart"/>
      <w:r w:rsidRPr="00434B41">
        <w:rPr>
          <w:rFonts w:ascii="Arial" w:hAnsi="Arial" w:cs="Arial"/>
        </w:rPr>
        <w:t>cytoredukcją</w:t>
      </w:r>
      <w:proofErr w:type="spellEnd"/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(bez pozostawienia mas resztkowych lub &lt; 1 cm);</w:t>
      </w:r>
    </w:p>
    <w:p w14:paraId="0A711CF1" w14:textId="660F8B2E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odsetka świadczeniobiorców z nowotworem jajnika, u których zastosowano </w:t>
      </w:r>
      <w:proofErr w:type="spellStart"/>
      <w:r w:rsidRPr="00434B41">
        <w:rPr>
          <w:rFonts w:ascii="Arial" w:hAnsi="Arial" w:cs="Arial"/>
        </w:rPr>
        <w:t>neodajuwantową</w:t>
      </w:r>
      <w:proofErr w:type="spellEnd"/>
      <w:r w:rsidRPr="00434B41">
        <w:rPr>
          <w:rFonts w:ascii="Arial" w:hAnsi="Arial" w:cs="Arial"/>
        </w:rPr>
        <w:t xml:space="preserve"> chemioterapię (NACT);</w:t>
      </w:r>
    </w:p>
    <w:p w14:paraId="306FFE4D" w14:textId="4A9C86A4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 z nowotworem jajnika, u których wykonano laparotomię zwiadowczą;</w:t>
      </w:r>
    </w:p>
    <w:p w14:paraId="49766A83" w14:textId="3F5549BE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 z nowotworem nienaciekającym o średnicy nie większej niż 2 cm (po wykluczeniu pacjentów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z mutacjami BRCA1 i BRCA2) poddanych leczeniu oszczędzającemu gruczoł sutkowy;</w:t>
      </w:r>
    </w:p>
    <w:p w14:paraId="0366C9E6" w14:textId="1A2A1DB9" w:rsidR="004229A9" w:rsidRPr="00364403" w:rsidRDefault="00364403" w:rsidP="00364403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364403">
        <w:rPr>
          <w:rFonts w:ascii="Arial" w:hAnsi="Arial" w:cs="Arial"/>
        </w:rPr>
        <w:t>odsetka świadczeniobiorców z nowotworem naciekającym o średnicy nieprzekraczającej 3 cm (rozmiar całkowity,</w:t>
      </w:r>
      <w:r>
        <w:rPr>
          <w:rFonts w:ascii="Arial" w:hAnsi="Arial" w:cs="Arial"/>
        </w:rPr>
        <w:t xml:space="preserve"> </w:t>
      </w:r>
      <w:r w:rsidRPr="00364403">
        <w:rPr>
          <w:rFonts w:ascii="Arial" w:hAnsi="Arial" w:cs="Arial"/>
        </w:rPr>
        <w:t>w tym komponent DCIS; po wykluczeniu pacjentów z mutacjami BRCA1 i BRCA2) poddanych leczeniu oszczędzającemu</w:t>
      </w:r>
      <w:r>
        <w:rPr>
          <w:rFonts w:ascii="Arial" w:hAnsi="Arial" w:cs="Arial"/>
        </w:rPr>
        <w:t xml:space="preserve"> </w:t>
      </w:r>
      <w:r w:rsidRPr="00364403">
        <w:rPr>
          <w:rFonts w:ascii="Arial" w:hAnsi="Arial" w:cs="Arial"/>
        </w:rPr>
        <w:t>gruczoł sutkowy;</w:t>
      </w:r>
    </w:p>
    <w:p w14:paraId="00C2738C" w14:textId="561E8751" w:rsidR="004229A9" w:rsidRPr="00364403" w:rsidRDefault="00364403" w:rsidP="00364403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364403">
        <w:rPr>
          <w:rFonts w:ascii="Arial" w:hAnsi="Arial" w:cs="Arial"/>
        </w:rPr>
        <w:t>odsetka badań diagnostycznych wymagających ponownego opisu bądź ponownej weryfikacji materiału</w:t>
      </w:r>
      <w:r>
        <w:rPr>
          <w:rFonts w:ascii="Arial" w:hAnsi="Arial" w:cs="Arial"/>
        </w:rPr>
        <w:t xml:space="preserve"> </w:t>
      </w:r>
      <w:r w:rsidRPr="00364403">
        <w:rPr>
          <w:rFonts w:ascii="Arial" w:hAnsi="Arial" w:cs="Arial"/>
        </w:rPr>
        <w:t>w okresie 6 tygodni (tomografia komputerowa, endoskopia, biopsja, ocena patomorfologiczna, ocena molekularna),</w:t>
      </w:r>
      <w:r>
        <w:rPr>
          <w:rFonts w:ascii="Arial" w:hAnsi="Arial" w:cs="Arial"/>
        </w:rPr>
        <w:t xml:space="preserve"> </w:t>
      </w:r>
      <w:r w:rsidRPr="00364403">
        <w:rPr>
          <w:rFonts w:ascii="Arial" w:hAnsi="Arial" w:cs="Arial"/>
        </w:rPr>
        <w:t>wykazanego dla każdej z</w:t>
      </w:r>
      <w:r w:rsidR="00304C1D">
        <w:rPr>
          <w:rFonts w:ascii="Arial" w:hAnsi="Arial" w:cs="Arial"/>
        </w:rPr>
        <w:t> </w:t>
      </w:r>
      <w:r w:rsidRPr="00364403">
        <w:rPr>
          <w:rFonts w:ascii="Arial" w:hAnsi="Arial" w:cs="Arial"/>
        </w:rPr>
        <w:t>uczestniczących placówek w podziale na typ nowotworu i rodzaj badania;</w:t>
      </w:r>
    </w:p>
    <w:p w14:paraId="3ED77A48" w14:textId="24D90CD6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 na DCIS, u których nie usunięto zawartości dołu pachowego;</w:t>
      </w:r>
    </w:p>
    <w:p w14:paraId="65F183A5" w14:textId="4694BA30" w:rsidR="004229A9" w:rsidRPr="00434B41" w:rsidRDefault="004229A9" w:rsidP="005A0211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odsetka świadczeniobiorców z nowotworem naciekającym bez przerzutów w węzłach chłonnych (pN0), u których nie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usunięto układu chłonnego dołu pachowego;</w:t>
      </w:r>
    </w:p>
    <w:p w14:paraId="7D542FDF" w14:textId="7FB0F97C" w:rsidR="004229A9" w:rsidRPr="00434B41" w:rsidRDefault="004229A9" w:rsidP="00364403">
      <w:pPr>
        <w:pStyle w:val="Akapitzlist"/>
        <w:numPr>
          <w:ilvl w:val="0"/>
          <w:numId w:val="21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odsetka świadczeniobiorców z </w:t>
      </w:r>
      <w:proofErr w:type="spellStart"/>
      <w:r w:rsidRPr="00434B41">
        <w:rPr>
          <w:rFonts w:ascii="Arial" w:hAnsi="Arial" w:cs="Arial"/>
        </w:rPr>
        <w:t>hormonowrażliwym</w:t>
      </w:r>
      <w:proofErr w:type="spellEnd"/>
      <w:r w:rsidRPr="00434B41">
        <w:rPr>
          <w:rFonts w:ascii="Arial" w:hAnsi="Arial" w:cs="Arial"/>
        </w:rPr>
        <w:t xml:space="preserve"> nowotworem naciekającym, którzy otrzymali leczenie hormonalne;</w:t>
      </w:r>
    </w:p>
    <w:p w14:paraId="6B87BD00" w14:textId="58E1D539" w:rsidR="004229A9" w:rsidRPr="00434B41" w:rsidRDefault="004229A9" w:rsidP="00364403">
      <w:pPr>
        <w:pStyle w:val="Akapitzlist"/>
        <w:numPr>
          <w:ilvl w:val="0"/>
          <w:numId w:val="21"/>
        </w:numPr>
        <w:tabs>
          <w:tab w:val="left" w:pos="1710"/>
        </w:tabs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 xml:space="preserve">odsetka świadczeniobiorców z nowotworem zapalnym lub miejscowo zaawansowanym, </w:t>
      </w:r>
      <w:proofErr w:type="spellStart"/>
      <w:r w:rsidRPr="00434B41">
        <w:rPr>
          <w:rFonts w:ascii="Arial" w:hAnsi="Arial" w:cs="Arial"/>
        </w:rPr>
        <w:t>nieresekcyjnym</w:t>
      </w:r>
      <w:proofErr w:type="spellEnd"/>
      <w:r w:rsidRPr="00434B41">
        <w:rPr>
          <w:rFonts w:ascii="Arial" w:hAnsi="Arial" w:cs="Arial"/>
        </w:rPr>
        <w:t xml:space="preserve"> nowotworem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piersi z ekspresją ER, których poddano indukcyjnej chemioterapii.</w:t>
      </w:r>
    </w:p>
    <w:p w14:paraId="516A95F2" w14:textId="41C13D18" w:rsidR="004229A9" w:rsidRPr="00434B41" w:rsidRDefault="004229A9" w:rsidP="00865259">
      <w:pPr>
        <w:tabs>
          <w:tab w:val="left" w:pos="1710"/>
        </w:tabs>
        <w:jc w:val="both"/>
        <w:rPr>
          <w:rFonts w:ascii="Arial" w:hAnsi="Arial" w:cs="Arial"/>
          <w:color w:val="0070C0"/>
        </w:rPr>
      </w:pPr>
      <w:r w:rsidRPr="00434B41">
        <w:rPr>
          <w:rFonts w:ascii="Arial" w:hAnsi="Arial" w:cs="Arial"/>
          <w:color w:val="0070C0"/>
        </w:rPr>
        <w:t>Wskaźnikami realizacji pilotażu są:</w:t>
      </w:r>
    </w:p>
    <w:p w14:paraId="010742F4" w14:textId="44CBCAC1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świadczeniobiorców włączonych do pilotażu;</w:t>
      </w:r>
    </w:p>
    <w:p w14:paraId="0EA03C8C" w14:textId="434C775E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świadczeniobiorców objętych pilotażem, u których zakończono leczenie onkologiczne;</w:t>
      </w:r>
    </w:p>
    <w:p w14:paraId="343F794A" w14:textId="5D199916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zwołanych wielodyscyplinarnych zespołów terapeutycznych;</w:t>
      </w:r>
    </w:p>
    <w:p w14:paraId="27068A14" w14:textId="2C8B0F08" w:rsidR="004229A9" w:rsidRPr="00460C15" w:rsidRDefault="00460C15" w:rsidP="00460C15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60C15">
        <w:rPr>
          <w:rFonts w:ascii="Arial" w:hAnsi="Arial" w:cs="Arial"/>
        </w:rPr>
        <w:lastRenderedPageBreak/>
        <w:t>liczba porad i konsultacji przeprowadzonych przez wojewódzki ośrodek koordynujący oraz współpracujący uniwersytecki</w:t>
      </w:r>
      <w:r>
        <w:rPr>
          <w:rFonts w:ascii="Arial" w:hAnsi="Arial" w:cs="Arial"/>
        </w:rPr>
        <w:t xml:space="preserve"> </w:t>
      </w:r>
      <w:r w:rsidRPr="00460C15">
        <w:rPr>
          <w:rFonts w:ascii="Arial" w:hAnsi="Arial" w:cs="Arial"/>
        </w:rPr>
        <w:t xml:space="preserve">ośrodek kliniczny na zlecenie ośrodków współpracujących I </w:t>
      </w:r>
      <w:proofErr w:type="spellStart"/>
      <w:r w:rsidRPr="00460C15">
        <w:rPr>
          <w:rFonts w:ascii="Arial" w:hAnsi="Arial" w:cs="Arial"/>
        </w:rPr>
        <w:t>i</w:t>
      </w:r>
      <w:proofErr w:type="spellEnd"/>
      <w:r w:rsidRPr="00460C15">
        <w:rPr>
          <w:rFonts w:ascii="Arial" w:hAnsi="Arial" w:cs="Arial"/>
        </w:rPr>
        <w:t xml:space="preserve"> II poziomu</w:t>
      </w:r>
      <w:r w:rsidR="004229A9" w:rsidRPr="00460C15">
        <w:rPr>
          <w:rFonts w:ascii="Arial" w:hAnsi="Arial" w:cs="Arial"/>
        </w:rPr>
        <w:t>;</w:t>
      </w:r>
    </w:p>
    <w:p w14:paraId="40EBEAA9" w14:textId="395275CD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usług w ramach infolinii onkologicznej (w okresie miesiąca);</w:t>
      </w:r>
    </w:p>
    <w:p w14:paraId="35962FDF" w14:textId="6A1E8A79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ocena satysfakcji świadczeniobiorców ze sprawowanej opieki, w oparciu o ankiety;</w:t>
      </w:r>
    </w:p>
    <w:p w14:paraId="5CB8031E" w14:textId="0919CD5A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wartość środków finansowych poniesionych na realizację pilotażu w stosunku do</w:t>
      </w:r>
      <w:r w:rsidR="00304C1D">
        <w:rPr>
          <w:rFonts w:ascii="Arial" w:hAnsi="Arial" w:cs="Arial"/>
        </w:rPr>
        <w:t> </w:t>
      </w:r>
      <w:r w:rsidRPr="00434B41">
        <w:rPr>
          <w:rFonts w:ascii="Arial" w:hAnsi="Arial" w:cs="Arial"/>
        </w:rPr>
        <w:t>środków finansowych planowanych</w:t>
      </w:r>
      <w:r w:rsidR="00434B41" w:rsidRPr="00434B41">
        <w:rPr>
          <w:rFonts w:ascii="Arial" w:hAnsi="Arial" w:cs="Arial"/>
        </w:rPr>
        <w:t xml:space="preserve"> </w:t>
      </w:r>
      <w:r w:rsidRPr="00434B41">
        <w:rPr>
          <w:rFonts w:ascii="Arial" w:hAnsi="Arial" w:cs="Arial"/>
        </w:rPr>
        <w:t>na jego realizację;</w:t>
      </w:r>
    </w:p>
    <w:p w14:paraId="1A5C7C8E" w14:textId="35CE1628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danych dotyczących kompletności diagnostyki wstępnej i pogłębionej;</w:t>
      </w:r>
    </w:p>
    <w:p w14:paraId="69230137" w14:textId="0349A64C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danych dotyczących stanu ogólnego pacjenta;</w:t>
      </w:r>
    </w:p>
    <w:p w14:paraId="7EF28C91" w14:textId="668FE966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danych dotyczących kodu i stopnia zaawansowania choroby;</w:t>
      </w:r>
    </w:p>
    <w:p w14:paraId="3A07A4F7" w14:textId="3A3A1E74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danych dotyczących wyniku badania histopatologicznego;</w:t>
      </w:r>
    </w:p>
    <w:p w14:paraId="52506F2C" w14:textId="40534244" w:rsidR="004229A9" w:rsidRPr="00434B41" w:rsidRDefault="004229A9" w:rsidP="00434B41">
      <w:pPr>
        <w:pStyle w:val="Akapitzlist"/>
        <w:numPr>
          <w:ilvl w:val="0"/>
          <w:numId w:val="25"/>
        </w:numPr>
        <w:tabs>
          <w:tab w:val="left" w:pos="1710"/>
        </w:tabs>
        <w:spacing w:after="0"/>
        <w:jc w:val="both"/>
        <w:rPr>
          <w:rFonts w:ascii="Arial" w:hAnsi="Arial" w:cs="Arial"/>
        </w:rPr>
      </w:pPr>
      <w:r w:rsidRPr="00434B41">
        <w:rPr>
          <w:rFonts w:ascii="Arial" w:hAnsi="Arial" w:cs="Arial"/>
        </w:rPr>
        <w:t>liczba danych przekazanych z raportów statystycznych;</w:t>
      </w:r>
    </w:p>
    <w:p w14:paraId="1A5CF6EB" w14:textId="5F2FC232" w:rsidR="0023587F" w:rsidRPr="00304C1D" w:rsidRDefault="004229A9" w:rsidP="00304C1D">
      <w:pPr>
        <w:pStyle w:val="Akapitzlist"/>
        <w:numPr>
          <w:ilvl w:val="0"/>
          <w:numId w:val="25"/>
        </w:numPr>
        <w:tabs>
          <w:tab w:val="left" w:pos="1710"/>
        </w:tabs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  <w:u w:val="single"/>
        </w:rPr>
      </w:pPr>
      <w:r w:rsidRPr="00434B41">
        <w:rPr>
          <w:rFonts w:ascii="Arial" w:hAnsi="Arial" w:cs="Arial"/>
        </w:rPr>
        <w:t>liczba mierników uzyskanych w wyniku pilotażu na podstawie gromadzonych danych.</w:t>
      </w:r>
    </w:p>
    <w:p w14:paraId="4639E33D" w14:textId="77777777" w:rsidR="00304C1D" w:rsidRPr="00304C1D" w:rsidRDefault="00304C1D" w:rsidP="00304C1D">
      <w:pPr>
        <w:pStyle w:val="Akapitzlist"/>
        <w:tabs>
          <w:tab w:val="left" w:pos="1710"/>
        </w:tabs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  <w:u w:val="single"/>
        </w:rPr>
      </w:pPr>
    </w:p>
    <w:p w14:paraId="0DDC3E1D" w14:textId="3F402FF3" w:rsidR="00E64630" w:rsidRPr="00027342" w:rsidRDefault="00E64630" w:rsidP="002D35AC">
      <w:pPr>
        <w:pStyle w:val="Akapitzlist"/>
        <w:numPr>
          <w:ilvl w:val="0"/>
          <w:numId w:val="44"/>
        </w:numPr>
        <w:spacing w:before="120" w:after="1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C63B9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KOMITET STERUJĄCY</w:t>
      </w:r>
    </w:p>
    <w:p w14:paraId="3701FF45" w14:textId="7BF68EF3" w:rsidR="00E64630" w:rsidRPr="00721B30" w:rsidRDefault="00D439B4" w:rsidP="00E64630">
      <w:p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>Komitet Sterujący będący organem opiniodawczo-doradczym ministra właściwego do spraw zdrowia</w:t>
      </w:r>
      <w:r>
        <w:rPr>
          <w:rFonts w:ascii="Arial" w:hAnsi="Arial" w:cs="Arial"/>
        </w:rPr>
        <w:t xml:space="preserve"> </w:t>
      </w:r>
      <w:r w:rsidRPr="00925BA4">
        <w:rPr>
          <w:rFonts w:ascii="Arial" w:hAnsi="Arial" w:cs="Arial"/>
        </w:rPr>
        <w:t>powołany został</w:t>
      </w:r>
      <w:r>
        <w:rPr>
          <w:rFonts w:ascii="Arial" w:hAnsi="Arial" w:cs="Arial"/>
        </w:rPr>
        <w:t xml:space="preserve"> n</w:t>
      </w:r>
      <w:r w:rsidR="00E64630" w:rsidRPr="00925BA4">
        <w:rPr>
          <w:rFonts w:ascii="Arial" w:hAnsi="Arial" w:cs="Arial"/>
        </w:rPr>
        <w:t>a podstawie zarządzenia Ministra Zdrowia z dnia 24 lutego 2020 r. w sprawie powołania Komitetu Sterującego do spraw monitorowania programu pilotażowego opieki nad świadczeniobiorcą w ramach sieci onkologicznej</w:t>
      </w:r>
      <w:r>
        <w:rPr>
          <w:rFonts w:ascii="Arial" w:hAnsi="Arial" w:cs="Arial"/>
        </w:rPr>
        <w:t>.</w:t>
      </w:r>
      <w:r w:rsidR="00E64630" w:rsidRPr="00925BA4">
        <w:rPr>
          <w:rFonts w:ascii="Arial" w:hAnsi="Arial" w:cs="Arial"/>
        </w:rPr>
        <w:t xml:space="preserve"> </w:t>
      </w:r>
    </w:p>
    <w:p w14:paraId="62AAC106" w14:textId="77777777" w:rsidR="00E64630" w:rsidRPr="00E64630" w:rsidRDefault="00E64630" w:rsidP="00E64630">
      <w:pPr>
        <w:spacing w:before="120" w:after="120"/>
        <w:rPr>
          <w:rFonts w:ascii="Arial" w:hAnsi="Arial" w:cs="Arial"/>
          <w:color w:val="0070C0"/>
        </w:rPr>
      </w:pPr>
      <w:r w:rsidRPr="00E64630">
        <w:rPr>
          <w:rFonts w:ascii="Arial" w:hAnsi="Arial" w:cs="Arial"/>
          <w:color w:val="0070C0"/>
        </w:rPr>
        <w:t xml:space="preserve">Do zadań Komitetu należy: </w:t>
      </w:r>
    </w:p>
    <w:p w14:paraId="4BBBDD8B" w14:textId="77777777" w:rsidR="00E64630" w:rsidRPr="00925BA4" w:rsidRDefault="00E64630" w:rsidP="00E6463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 xml:space="preserve">monitorowanie i nadzór nad przebiegiem programu pilotażowego opieki nad świadczeniobiorcą w ramach sieci onkologicznej, </w:t>
      </w:r>
    </w:p>
    <w:p w14:paraId="012EF996" w14:textId="77777777" w:rsidR="00E64630" w:rsidRPr="00925BA4" w:rsidRDefault="00E64630" w:rsidP="00E6463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>analiza przygotowanych przez ekspertów zewnętrznych analiz, ekspertyz lub audytów z realizacji programu pilotażowego opieki nad świadczeniobiorcą w ramach sieci onkologicznej,</w:t>
      </w:r>
    </w:p>
    <w:p w14:paraId="0229AC0A" w14:textId="77777777" w:rsidR="00E64630" w:rsidRPr="00925BA4" w:rsidRDefault="00E64630" w:rsidP="00E6463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>przygotowanie raportu końcowego z prac Komitetu oraz z realizacji programu pilotażowego opieki nad świadczeniobiorcą w ramach sieci onkologicznej, zawierającego wnioski z oceny pilotażu,</w:t>
      </w:r>
    </w:p>
    <w:p w14:paraId="13B9A61F" w14:textId="77777777" w:rsidR="00E64630" w:rsidRPr="00925BA4" w:rsidRDefault="00E64630" w:rsidP="00E6463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 xml:space="preserve">zebranie know-how niezbędnego do wdrożenia Krajowej Sieci Onkologicznej, </w:t>
      </w:r>
    </w:p>
    <w:p w14:paraId="5426B1DC" w14:textId="77777777" w:rsidR="00E64630" w:rsidRPr="00925BA4" w:rsidRDefault="00E64630" w:rsidP="00E6463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>podsumowanie badania satysfakcji pacjenta z zakresu opieki onkologicznej sprawowanej w ramach sieci onkologicznej.</w:t>
      </w:r>
    </w:p>
    <w:p w14:paraId="6B82381F" w14:textId="77777777" w:rsidR="00E64630" w:rsidRPr="00925BA4" w:rsidRDefault="00E64630" w:rsidP="00E64630">
      <w:p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 xml:space="preserve">W celu lepszej i sprawniejszej oceny przebiegu pilotażu, w składzie Komitetu Sterującego znalazł się przedstawiciel Centrali Funduszu oraz Podlaskiego i Dolnośląskiego Oddziału Wojewódzkiego Funduszu, odpowiedzialni za wdrożenie, monitorowanie i ewaluację pilotażu. </w:t>
      </w:r>
    </w:p>
    <w:p w14:paraId="7DAFF4B2" w14:textId="77777777" w:rsidR="00E64630" w:rsidRPr="00925BA4" w:rsidRDefault="00E64630" w:rsidP="00E64630">
      <w:p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>Z uwagi na niezbędną wiedzę merytoryczną oraz doświadczenie w zakresie lecznictwa onkologicznego w skład Komitetu weszli przedstawiciele wojewódzkich ośrodków koordynujących: Świętokrzyskiego Centrum Onkologii w Kielcach, Uniwersyteckiego Centrum Klinicznego w Gdańsku, Dolnośląskiego Centrum Onkologii we Wrocławiu oraz Białostockiego Centrum Onkologii w Białymstoku. Ponadto, w skład Komitetu weszli przedstawiciele Uniwersyteckiego Szpitala Klinicznego w Białymstoku, pełniący rolę współpracującego uniwersyteckiego ośrodka klinicznego, Narodowego Instytutu Onkologii im. Marii Skłodowskiej-Curie – PIB, Agencji Oceny Technologii Medycznych i Taryfikacji, Konferencji Rektorów Akademickich Uczelni Medycznych oraz Polskiego Towarzystwa Onkologicznego.</w:t>
      </w:r>
    </w:p>
    <w:p w14:paraId="320A7F8D" w14:textId="70DCBF0C" w:rsidR="00E64630" w:rsidRPr="00721B30" w:rsidRDefault="00E64630" w:rsidP="00E64630">
      <w:pPr>
        <w:jc w:val="both"/>
        <w:rPr>
          <w:rFonts w:ascii="Arial" w:hAnsi="Arial" w:cs="Arial"/>
        </w:rPr>
      </w:pPr>
      <w:r w:rsidRPr="00925BA4">
        <w:rPr>
          <w:rFonts w:ascii="Arial" w:hAnsi="Arial" w:cs="Arial"/>
        </w:rPr>
        <w:t>W składzie Komitetu znalazł się również przedstawiciel pacjentów, Rady Dialogu Społecznego, Polskiej Koalicji Pacjentów Onkologicznych, a także przedstawiciele Ministerstwa</w:t>
      </w:r>
      <w:r>
        <w:rPr>
          <w:rFonts w:ascii="Arial" w:hAnsi="Arial" w:cs="Arial"/>
        </w:rPr>
        <w:t xml:space="preserve"> </w:t>
      </w:r>
      <w:r w:rsidRPr="00925BA4">
        <w:rPr>
          <w:rFonts w:ascii="Arial" w:hAnsi="Arial" w:cs="Arial"/>
        </w:rPr>
        <w:t>Zdrowia.</w:t>
      </w:r>
      <w:r>
        <w:rPr>
          <w:rFonts w:ascii="Arial" w:hAnsi="Arial" w:cs="Arial"/>
        </w:rPr>
        <w:t xml:space="preserve"> </w:t>
      </w:r>
    </w:p>
    <w:p w14:paraId="57CC0A21" w14:textId="77777777" w:rsidR="00E64630" w:rsidRPr="005A536A" w:rsidRDefault="00E64630" w:rsidP="00E64630">
      <w:pPr>
        <w:jc w:val="both"/>
      </w:pPr>
      <w:r>
        <w:rPr>
          <w:rFonts w:ascii="Arial" w:hAnsi="Arial" w:cs="Arial"/>
        </w:rPr>
        <w:lastRenderedPageBreak/>
        <w:t xml:space="preserve">Do tej pory odbyło się </w:t>
      </w:r>
      <w:r w:rsidRPr="0004295E">
        <w:rPr>
          <w:rFonts w:ascii="Arial" w:hAnsi="Arial" w:cs="Arial"/>
        </w:rPr>
        <w:t>5 posiedzeń w dniach: 17.06.2020 r., 10.07.2020 r., 17.09.2020 r., 19.10.2020 r., 21.01.2021 r.</w:t>
      </w:r>
    </w:p>
    <w:p w14:paraId="49AD7FE2" w14:textId="77777777" w:rsidR="00E64630" w:rsidRPr="00A250E4" w:rsidRDefault="00E64630" w:rsidP="00E64630">
      <w:pPr>
        <w:spacing w:before="120" w:after="120"/>
        <w:rPr>
          <w:rFonts w:ascii="Arial" w:hAnsi="Arial" w:cs="Arial"/>
          <w:color w:val="0070C0"/>
        </w:rPr>
      </w:pPr>
      <w:r w:rsidRPr="00A250E4">
        <w:rPr>
          <w:rFonts w:ascii="Arial" w:hAnsi="Arial" w:cs="Arial"/>
          <w:color w:val="0070C0"/>
        </w:rPr>
        <w:t>Na posiedzeniach Komitet Sterujący omówił:</w:t>
      </w:r>
    </w:p>
    <w:p w14:paraId="200FF086" w14:textId="3CD70234" w:rsidR="00E64630" w:rsidRPr="00A250E4" w:rsidRDefault="00E64630" w:rsidP="00E64630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A250E4">
        <w:rPr>
          <w:rFonts w:ascii="Arial" w:hAnsi="Arial" w:cs="Arial"/>
        </w:rPr>
        <w:t>dotychczasowe wyniki realizacji programu pilotażowego opieki nad</w:t>
      </w:r>
      <w:r>
        <w:rPr>
          <w:rFonts w:ascii="Arial" w:hAnsi="Arial" w:cs="Arial"/>
        </w:rPr>
        <w:t xml:space="preserve"> </w:t>
      </w:r>
      <w:r w:rsidRPr="00A250E4">
        <w:rPr>
          <w:rFonts w:ascii="Arial" w:hAnsi="Arial" w:cs="Arial"/>
        </w:rPr>
        <w:t>świadczeniobiorcą w ramach sieci onkologicznej w poszczególnych województwach</w:t>
      </w:r>
      <w:r w:rsidR="00D439B4">
        <w:rPr>
          <w:rFonts w:ascii="Arial" w:hAnsi="Arial" w:cs="Arial"/>
        </w:rPr>
        <w:t>,</w:t>
      </w:r>
    </w:p>
    <w:p w14:paraId="1E8AFBFB" w14:textId="1F7C5D88" w:rsidR="00E64630" w:rsidRPr="00A250E4" w:rsidRDefault="00E64630" w:rsidP="00E64630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A250E4">
        <w:rPr>
          <w:rFonts w:ascii="Arial" w:hAnsi="Arial" w:cs="Arial"/>
        </w:rPr>
        <w:t>problemy w pilotażu w związku z COVID-19</w:t>
      </w:r>
      <w:r w:rsidR="00D439B4">
        <w:rPr>
          <w:rFonts w:ascii="Arial" w:hAnsi="Arial" w:cs="Arial"/>
        </w:rPr>
        <w:t>,</w:t>
      </w:r>
      <w:r w:rsidRPr="00A250E4">
        <w:rPr>
          <w:rFonts w:ascii="Arial" w:hAnsi="Arial" w:cs="Arial"/>
        </w:rPr>
        <w:t xml:space="preserve"> </w:t>
      </w:r>
    </w:p>
    <w:p w14:paraId="54F1819B" w14:textId="011CFFAE" w:rsidR="00E64630" w:rsidRPr="00A250E4" w:rsidRDefault="00E64630" w:rsidP="00E64630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A250E4">
        <w:rPr>
          <w:rFonts w:ascii="Arial" w:hAnsi="Arial" w:cs="Arial"/>
        </w:rPr>
        <w:t>biobankowanie w ramach pilotażu sieci onkologicznej</w:t>
      </w:r>
      <w:r w:rsidR="00D439B4">
        <w:rPr>
          <w:rFonts w:ascii="Arial" w:hAnsi="Arial" w:cs="Arial"/>
        </w:rPr>
        <w:t>,</w:t>
      </w:r>
    </w:p>
    <w:p w14:paraId="500604B4" w14:textId="50895E72" w:rsidR="00E64630" w:rsidRPr="00A250E4" w:rsidRDefault="00E64630" w:rsidP="00E64630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A250E4">
        <w:rPr>
          <w:rFonts w:ascii="Arial" w:hAnsi="Arial" w:cs="Arial"/>
        </w:rPr>
        <w:t>monitorowanie satysfakcji pacjentów w pilotażu sieci onkologicznej</w:t>
      </w:r>
      <w:r w:rsidR="00D439B4">
        <w:rPr>
          <w:rFonts w:ascii="Arial" w:hAnsi="Arial" w:cs="Arial"/>
        </w:rPr>
        <w:t>.</w:t>
      </w:r>
    </w:p>
    <w:p w14:paraId="11EF4EBA" w14:textId="77777777" w:rsidR="00E64630" w:rsidRPr="00A250E4" w:rsidRDefault="00E64630" w:rsidP="00E64630">
      <w:pPr>
        <w:spacing w:before="120" w:after="120"/>
        <w:rPr>
          <w:rFonts w:ascii="Arial" w:hAnsi="Arial" w:cs="Arial"/>
          <w:color w:val="0070C0"/>
        </w:rPr>
      </w:pPr>
      <w:r w:rsidRPr="00A250E4">
        <w:rPr>
          <w:rFonts w:ascii="Arial" w:hAnsi="Arial" w:cs="Arial"/>
          <w:color w:val="0070C0"/>
        </w:rPr>
        <w:t>W trakcie realizacji:</w:t>
      </w:r>
    </w:p>
    <w:p w14:paraId="24ABE72D" w14:textId="72A6E137" w:rsidR="00E64630" w:rsidRPr="00A250E4" w:rsidRDefault="00E64630" w:rsidP="00E64630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</w:rPr>
      </w:pPr>
      <w:r w:rsidRPr="00A250E4">
        <w:rPr>
          <w:rFonts w:ascii="Arial" w:hAnsi="Arial" w:cs="Arial"/>
        </w:rPr>
        <w:t xml:space="preserve">przygotowanie zakresu informacyjnego niezbędnego do </w:t>
      </w:r>
      <w:r w:rsidR="00D439B4">
        <w:rPr>
          <w:rFonts w:ascii="Arial" w:hAnsi="Arial" w:cs="Arial"/>
        </w:rPr>
        <w:t xml:space="preserve">sporządzenia </w:t>
      </w:r>
      <w:r w:rsidRPr="00A250E4">
        <w:rPr>
          <w:rFonts w:ascii="Arial" w:hAnsi="Arial" w:cs="Arial"/>
        </w:rPr>
        <w:t>raportu podsumowującego pilotaż</w:t>
      </w:r>
      <w:r>
        <w:rPr>
          <w:rFonts w:ascii="Arial" w:hAnsi="Arial" w:cs="Arial"/>
        </w:rPr>
        <w:t>,</w:t>
      </w:r>
    </w:p>
    <w:p w14:paraId="71D06643" w14:textId="77777777" w:rsidR="00E64630" w:rsidRPr="00A250E4" w:rsidRDefault="00E64630" w:rsidP="00E64630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</w:rPr>
      </w:pPr>
      <w:r w:rsidRPr="00A250E4">
        <w:rPr>
          <w:rFonts w:ascii="Arial" w:hAnsi="Arial" w:cs="Arial"/>
        </w:rPr>
        <w:t>raport śródokresowy z realizacji pilotażu</w:t>
      </w:r>
      <w:r>
        <w:rPr>
          <w:rFonts w:ascii="Arial" w:hAnsi="Arial" w:cs="Arial"/>
        </w:rPr>
        <w:t>,</w:t>
      </w:r>
    </w:p>
    <w:p w14:paraId="62F00C07" w14:textId="77777777" w:rsidR="00E64630" w:rsidRPr="00A250E4" w:rsidRDefault="00E64630" w:rsidP="00E64630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</w:rPr>
      </w:pPr>
      <w:r w:rsidRPr="00A250E4">
        <w:rPr>
          <w:rFonts w:ascii="Arial" w:hAnsi="Arial" w:cs="Arial"/>
        </w:rPr>
        <w:t>podsumowanie całościowych działań Komitetu Sterującego w zakresie monitorowania programu pilotażowego (tj. wieloaspektowa analiza pilotażu za cały okres jego realizacji we wszystkich województwach)</w:t>
      </w:r>
      <w:r>
        <w:rPr>
          <w:rFonts w:ascii="Arial" w:hAnsi="Arial" w:cs="Arial"/>
        </w:rPr>
        <w:t>,</w:t>
      </w:r>
    </w:p>
    <w:p w14:paraId="2E0A53C4" w14:textId="77777777" w:rsidR="00E64630" w:rsidRDefault="00E64630" w:rsidP="00E64630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</w:rPr>
      </w:pPr>
      <w:r w:rsidRPr="00A250E4">
        <w:rPr>
          <w:rFonts w:ascii="Arial" w:hAnsi="Arial" w:cs="Arial"/>
        </w:rPr>
        <w:t>przygotowanie analiz / ekspertyz z przeprowadzonego badania satysfakcji pacjentów.</w:t>
      </w:r>
    </w:p>
    <w:p w14:paraId="7DD572A1" w14:textId="77777777" w:rsidR="00F80342" w:rsidRDefault="00F80342" w:rsidP="00E64630">
      <w:pPr>
        <w:pStyle w:val="Akapitzlist"/>
        <w:spacing w:before="120" w:after="120" w:line="276" w:lineRule="auto"/>
        <w:jc w:val="both"/>
        <w:rPr>
          <w:rFonts w:ascii="Arial" w:hAnsi="Arial" w:cs="Arial"/>
        </w:rPr>
        <w:sectPr w:rsidR="00F80342" w:rsidSect="004F4D00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61C7A63" w14:textId="77777777" w:rsidR="004F4D00" w:rsidRDefault="004F4D00" w:rsidP="00BF2786">
      <w:pPr>
        <w:spacing w:before="120" w:after="120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755A2B1D" w14:textId="4F57CB3B" w:rsidR="00BF2786" w:rsidRDefault="00BF2786" w:rsidP="00BF2786">
      <w:pPr>
        <w:spacing w:before="120" w:after="120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D362F2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WYNIKI PILOTAŻU W WOJEWÓDZTWIE 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DOLNOŚLĄSKIM</w:t>
      </w:r>
    </w:p>
    <w:tbl>
      <w:tblPr>
        <w:tblpPr w:leftFromText="141" w:rightFromText="141" w:vertAnchor="text" w:tblpY="1"/>
        <w:tblOverlap w:val="never"/>
        <w:tblW w:w="51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077"/>
        <w:gridCol w:w="1150"/>
        <w:gridCol w:w="1649"/>
        <w:gridCol w:w="1583"/>
        <w:gridCol w:w="2317"/>
        <w:gridCol w:w="13"/>
      </w:tblGrid>
      <w:tr w:rsidR="004F4D00" w:rsidRPr="000D5537" w14:paraId="1752CC7D" w14:textId="77777777" w:rsidTr="004F4D00">
        <w:trPr>
          <w:trHeight w:val="810"/>
          <w:tblHeader/>
        </w:trPr>
        <w:tc>
          <w:tcPr>
            <w:tcW w:w="1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2FC2EBB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6A3A0D" w14:textId="77777777" w:rsidR="00BD785E" w:rsidRDefault="00BD785E" w:rsidP="004F4D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rozpoczęcia pilotażu do 28.02.2021 r.</w:t>
            </w:r>
          </w:p>
          <w:p w14:paraId="7F999A91" w14:textId="44C53714" w:rsidR="00220F2E" w:rsidRPr="002D35AC" w:rsidRDefault="00220F2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1.02.2019 r. – 28.02.2021 r. (25-mcy)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BAA5749" w14:textId="77777777" w:rsidR="00BD785E" w:rsidRDefault="00BD785E" w:rsidP="004F4D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1.03.2020 r. do 28.02.2021 r.</w:t>
            </w:r>
          </w:p>
          <w:p w14:paraId="42CB9653" w14:textId="202E835E" w:rsidR="00220F2E" w:rsidRPr="002D35AC" w:rsidRDefault="00220F2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 m-</w:t>
            </w:r>
            <w:proofErr w:type="spellStart"/>
            <w:r w:rsidRPr="00220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20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(44% całego czasu trwania pilotażu to okres pandemii)</w:t>
            </w:r>
          </w:p>
        </w:tc>
      </w:tr>
      <w:tr w:rsidR="004F4D00" w:rsidRPr="000D5537" w14:paraId="5D3CD930" w14:textId="77777777" w:rsidTr="004F4D00">
        <w:trPr>
          <w:gridAfter w:val="1"/>
          <w:wAfter w:w="6" w:type="pct"/>
          <w:trHeight w:val="600"/>
          <w:tblHeader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A52F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7CEABE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465FB9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ośrodki w województwie - razem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D34134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WOK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479519E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ośrodki w województwie - razem</w:t>
            </w:r>
          </w:p>
        </w:tc>
      </w:tr>
      <w:tr w:rsidR="004F4D00" w:rsidRPr="000D5537" w14:paraId="7B1776E0" w14:textId="77777777" w:rsidTr="004F4D00">
        <w:trPr>
          <w:gridAfter w:val="1"/>
          <w:wAfter w:w="6" w:type="pct"/>
          <w:trHeight w:val="765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4E886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świadczeniobiorców objętych pilotażem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9073C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78F98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5773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CA24B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AFC8C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2875</w:t>
            </w:r>
          </w:p>
        </w:tc>
      </w:tr>
      <w:tr w:rsidR="004F4D00" w:rsidRPr="000D5537" w14:paraId="6DEBC62E" w14:textId="77777777" w:rsidTr="004F4D00">
        <w:trPr>
          <w:gridAfter w:val="1"/>
          <w:wAfter w:w="6" w:type="pct"/>
          <w:trHeight w:val="90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E385E6B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świadczeniobiorców objętych pilotażem, u których zakończono leczenie onkologiczne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8B1033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F972DB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B81ED7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83EB6E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459</w:t>
            </w:r>
          </w:p>
        </w:tc>
      </w:tr>
      <w:tr w:rsidR="004F4D00" w:rsidRPr="000D5537" w14:paraId="268899FC" w14:textId="77777777" w:rsidTr="004F4D00">
        <w:trPr>
          <w:gridAfter w:val="1"/>
          <w:wAfter w:w="6" w:type="pct"/>
          <w:trHeight w:val="75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2B2199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usług w ramach infolinii onkologicznej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B4E17F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23 401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3B82CD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15DF1E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18 719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1D6A6B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F4D00" w:rsidRPr="000D5537" w14:paraId="02F4F1A8" w14:textId="77777777" w:rsidTr="004F4D00">
        <w:trPr>
          <w:gridAfter w:val="1"/>
          <w:wAfter w:w="6" w:type="pct"/>
          <w:trHeight w:val="60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1882FFD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zwołanych wielodyscyplinarnych zespołów terapeutycznych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0A5D5C7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506F71B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742890B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905AB6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F4D00" w:rsidRPr="000D5537" w14:paraId="44CC500E" w14:textId="77777777" w:rsidTr="004F4D00">
        <w:trPr>
          <w:gridAfter w:val="1"/>
          <w:wAfter w:w="6" w:type="pct"/>
          <w:trHeight w:val="915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9E75F20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porad i konsultacji przeprowadzonych przez wojewódzki ośrodek koordynujący na zlecenie ośrodków współpracujących I </w:t>
            </w:r>
            <w:proofErr w:type="spellStart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II poziomu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38FEBC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912DEF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BE486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AAC2F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F4D00" w:rsidRPr="000D5537" w14:paraId="06D55AE8" w14:textId="77777777" w:rsidTr="004F4D00">
        <w:trPr>
          <w:gridAfter w:val="1"/>
          <w:wAfter w:w="6" w:type="pct"/>
          <w:trHeight w:val="360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7FFC7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 czas oczekiwania na </w:t>
            </w: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wizyty pierwszorazowe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FD2EA9" w14:textId="77777777" w:rsidR="00636325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Rak jelita grubego </w:t>
            </w:r>
          </w:p>
          <w:p w14:paraId="328C5534" w14:textId="1C4BE0D6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(C-18-C20)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D728C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049B7" w14:textId="5117B368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8B7B0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BBC59" w14:textId="2294A7EB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F4D00" w:rsidRPr="000D5537" w14:paraId="2BDB7133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2F14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D3DFF8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płuca (C34)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3EE6E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EDAC9" w14:textId="658D19BB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C2F5A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183D5" w14:textId="19AC3C7A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F4D00" w:rsidRPr="000D5537" w14:paraId="51892878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DCF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F11E3B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wtórny płuca (C78.0)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18178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0AFBC" w14:textId="1DB643EA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2A2A7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6B4F6" w14:textId="264C2B38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F4D00" w:rsidRPr="000D5537" w14:paraId="56EB5324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5B0A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CB4123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(C50)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E9F87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AC047" w14:textId="7773040E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F5384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39BC4" w14:textId="78618A36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F4D00" w:rsidRPr="000D5537" w14:paraId="3E3505A2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7AFA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378417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(D05)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333D5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8452C" w14:textId="5B10B2B3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29E2C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ADB20" w14:textId="1254EC6B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F4D00" w:rsidRPr="000D5537" w14:paraId="3B5B4382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FBBD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372AA6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jajnika (C56)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BE37E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333A9" w14:textId="7FA7DD2B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1C0E6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B1FD9E" w14:textId="61A3F3CA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F4D00" w:rsidRPr="000D5537" w14:paraId="4804F251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30A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CAC50B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gruczołu krokowego (C61)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60BBE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D3C35" w14:textId="5E96723B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BA255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3F71FE" w14:textId="63EA2E50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F4D00" w:rsidRPr="000D5537" w14:paraId="32CDF99A" w14:textId="77777777" w:rsidTr="004F4D00">
        <w:trPr>
          <w:gridAfter w:val="1"/>
          <w:wAfter w:w="6" w:type="pct"/>
          <w:trHeight w:val="345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0ED7D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 czas oczekiwania na badania diagnostyczne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vAlign w:val="bottom"/>
            <w:hideMark/>
          </w:tcPr>
          <w:p w14:paraId="61192276" w14:textId="77777777" w:rsidR="00636325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jelita grubego</w:t>
            </w:r>
          </w:p>
          <w:p w14:paraId="6A3382A3" w14:textId="2A135E94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(C-18-C20)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27AA31" w14:textId="2C617590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 (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ewn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trzny) - 10 dni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8EC38" w14:textId="0FB030C9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B190D" w14:textId="203DDC15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 (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ewn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trzny) - 10 dni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0CF98A" w14:textId="4FB2BEB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F4D00" w:rsidRPr="000D5537" w14:paraId="41A55F4B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53F3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vAlign w:val="bottom"/>
            <w:hideMark/>
          </w:tcPr>
          <w:p w14:paraId="05BA644D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płuca (C34)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69B56" w14:textId="28057168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NMR (wewn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trzny) - 10 dni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22961" w14:textId="092FB8DB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A40BD" w14:textId="6EFFD530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NMR (wewn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trzny) - 10 dni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32459D" w14:textId="3D152A79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F4D00" w:rsidRPr="000D5537" w14:paraId="0C49BCBB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9020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vAlign w:val="bottom"/>
            <w:hideMark/>
          </w:tcPr>
          <w:p w14:paraId="07B6C0DE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wtórny płuca (C78.0)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1C2B2" w14:textId="674A8F1F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PET (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wewnętrzny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- 14 dni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66D171" w14:textId="76AD680A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D9BC5" w14:textId="7F1EDF02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PET (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wewnętrzny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- 14 dni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D9E97" w14:textId="7909BB64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F4D00" w:rsidRPr="000D5537" w14:paraId="45F24EEB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1C6B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vAlign w:val="bottom"/>
            <w:hideMark/>
          </w:tcPr>
          <w:p w14:paraId="6180D71D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(C50)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C94DC0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HIST-PAT  - 8 dni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88CE7" w14:textId="62D4E781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023EB4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HIST-PAT  - 8 dni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C4F7D" w14:textId="5924499E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F4D00" w:rsidRPr="000D5537" w14:paraId="60D0A78C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6569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vAlign w:val="bottom"/>
            <w:hideMark/>
          </w:tcPr>
          <w:p w14:paraId="1EA15765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(D05)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A2870C" w14:textId="60B651DB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MMGF (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wewnętrzny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- 7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23AA88" w14:textId="5F83077D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51EEB5" w14:textId="61756311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MMGF (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wewnętrzny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- 7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F84A6" w14:textId="223D2C88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F4D00" w:rsidRPr="000D5537" w14:paraId="62E87035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9E7F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vAlign w:val="bottom"/>
            <w:hideMark/>
          </w:tcPr>
          <w:p w14:paraId="28A5328C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jajnika (C56)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0F87A" w14:textId="3BD3BE09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USG ( piersi 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wewnętrzny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- 14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9556F" w14:textId="1C0BE2A5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F597F" w14:textId="4991A002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USG ( piersi </w:t>
            </w:r>
            <w:r w:rsidR="00D439B4"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wewnętrzny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- 14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90C44" w14:textId="4209F91B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F4D00" w:rsidRPr="000D5537" w14:paraId="0A0B9EE4" w14:textId="77777777" w:rsidTr="004F4D00">
        <w:trPr>
          <w:gridAfter w:val="1"/>
          <w:wAfter w:w="6" w:type="pct"/>
          <w:trHeight w:val="30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837D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vAlign w:val="bottom"/>
            <w:hideMark/>
          </w:tcPr>
          <w:p w14:paraId="5C320AE8" w14:textId="77777777" w:rsidR="00BD785E" w:rsidRPr="002D35AC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gruczołu krokowego (C61)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D93E7A" w14:textId="452E31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Scyntygrafia - nie dotyczy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E79C7" w14:textId="702B98DE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2AE9F" w14:textId="72B43B06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Scyntygrafia - nie dotyczy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81CFBF" w14:textId="6F2FCCA4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F4D00" w:rsidRPr="000D5537" w14:paraId="43E6AEB2" w14:textId="77777777" w:rsidTr="004F4D00">
        <w:trPr>
          <w:gridAfter w:val="1"/>
          <w:wAfter w:w="6" w:type="pct"/>
          <w:trHeight w:val="96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3BC6ED" w14:textId="77777777" w:rsidR="00BD785E" w:rsidRDefault="00BD785E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satysfakcji świadczeniobiorców ze sprawowanej opieki, w oparciu o ankiety</w:t>
            </w:r>
          </w:p>
          <w:p w14:paraId="7ADB55C2" w14:textId="274B31CA" w:rsidR="00636325" w:rsidRPr="002D35AC" w:rsidRDefault="00636325" w:rsidP="004F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(liczba wypełnionych ankiet)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75F7E0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324B8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4603C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CE33F" w14:textId="77777777" w:rsidR="00BD785E" w:rsidRPr="002D35AC" w:rsidRDefault="00BD785E" w:rsidP="004F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485</w:t>
            </w:r>
          </w:p>
        </w:tc>
      </w:tr>
    </w:tbl>
    <w:p w14:paraId="7D61AB58" w14:textId="73F630FE" w:rsidR="004F4D00" w:rsidRDefault="004F4D00" w:rsidP="007F4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024CD47B" w14:textId="14B4F683" w:rsidR="007F4FB7" w:rsidRPr="007F4FB7" w:rsidRDefault="007F4FB7" w:rsidP="007F4FB7">
      <w:pPr>
        <w:jc w:val="both"/>
        <w:rPr>
          <w:rFonts w:ascii="Arial" w:hAnsi="Arial" w:cs="Arial"/>
        </w:rPr>
      </w:pPr>
      <w:r w:rsidRPr="007F4FB7">
        <w:rPr>
          <w:rFonts w:ascii="Arial" w:hAnsi="Arial" w:cs="Arial"/>
        </w:rPr>
        <w:t>Prezentowane dane pokazano za okres od rozpoczęcia pilotażu, tj. od 1 lutego 2019 r. do 28.02.2021 r., w tym wyodrębniono okres po wybuchu pandemii COVID-19 liczony od 1.03.2021 r. w celu wskazania wpływu pandemii na dostęp do świadczeń opieki zdrowotnej. Wpływ ten widoczny jest w zakresie średniego czasu oczekiwania na wizyty pierwszorazowe w WOK</w:t>
      </w:r>
      <w:r w:rsidR="00FD4409">
        <w:rPr>
          <w:rFonts w:ascii="Arial" w:hAnsi="Arial" w:cs="Arial"/>
        </w:rPr>
        <w:t>,</w:t>
      </w:r>
      <w:r w:rsidRPr="007F4FB7">
        <w:rPr>
          <w:rFonts w:ascii="Arial" w:hAnsi="Arial" w:cs="Arial"/>
        </w:rPr>
        <w:t xml:space="preserve"> np. w</w:t>
      </w:r>
      <w:r w:rsidR="00FD4409">
        <w:rPr>
          <w:rFonts w:ascii="Arial" w:hAnsi="Arial" w:cs="Arial"/>
        </w:rPr>
        <w:t xml:space="preserve"> </w:t>
      </w:r>
      <w:r w:rsidRPr="007F4FB7">
        <w:rPr>
          <w:rFonts w:ascii="Arial" w:hAnsi="Arial" w:cs="Arial"/>
        </w:rPr>
        <w:t xml:space="preserve">przypadku raka płuca czas ten wzrósł o 2 dni. W przypadku raka piersi – czas ten skrócił się z 4 do 3 dni. Wpływ na tę sytuację miała zwiększona liczba pacjentów w czasie </w:t>
      </w:r>
      <w:r w:rsidRPr="007F4FB7">
        <w:rPr>
          <w:rFonts w:ascii="Arial" w:hAnsi="Arial" w:cs="Arial"/>
        </w:rPr>
        <w:lastRenderedPageBreak/>
        <w:t>I fali pandemii, skumulowana w</w:t>
      </w:r>
      <w:r w:rsidR="00FD4409">
        <w:rPr>
          <w:rFonts w:ascii="Arial" w:hAnsi="Arial" w:cs="Arial"/>
        </w:rPr>
        <w:t> </w:t>
      </w:r>
      <w:r w:rsidRPr="007F4FB7">
        <w:rPr>
          <w:rFonts w:ascii="Arial" w:hAnsi="Arial" w:cs="Arial"/>
        </w:rPr>
        <w:t>ośrodkach, które nie zostały przekształcone w szpitale jednoimienne i realizowały opiekę onkologiczną w sposób nieprzerwany. Na tym samym poziomie – pomimo wybuchu pandemii – utrzymane zostały terminy realizacji badań diagnostycznych we wszystkich ośrodkach w pilotażu. Prezentacja danych w tej formie uniemożliwia przedstawieni</w:t>
      </w:r>
      <w:r w:rsidR="00FD4409">
        <w:rPr>
          <w:rFonts w:ascii="Arial" w:hAnsi="Arial" w:cs="Arial"/>
        </w:rPr>
        <w:t>e</w:t>
      </w:r>
      <w:r w:rsidRPr="007F4FB7">
        <w:rPr>
          <w:rFonts w:ascii="Arial" w:hAnsi="Arial" w:cs="Arial"/>
        </w:rPr>
        <w:t xml:space="preserve"> trendów po wybuchu pandemii – na wykresach widoczny jest spadek liczby nowych pacjentów w ośrodkach w województwie, natomiast w WOK spadek widoczny był w pierwszej fali, a w kolejnych została utrzymana stała liczba nowych pacjentów. </w:t>
      </w:r>
    </w:p>
    <w:p w14:paraId="1253199D" w14:textId="77777777" w:rsidR="004F4D00" w:rsidRDefault="004F4D00" w:rsidP="004F4D00">
      <w:pP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6896725A" w14:textId="2C4C9DEB" w:rsidR="00BD785E" w:rsidRDefault="00BF2786" w:rsidP="004F4D00">
      <w:pPr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D362F2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CZĘŚCIOWE WYNIKI PILOTAŻU W WOJEWÓDZTWIE 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ŚWIĘTOKRZYSKIM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198"/>
        <w:gridCol w:w="1409"/>
        <w:gridCol w:w="1474"/>
        <w:gridCol w:w="1830"/>
        <w:gridCol w:w="1475"/>
      </w:tblGrid>
      <w:tr w:rsidR="00BD785E" w:rsidRPr="000D5537" w14:paraId="7B51CF60" w14:textId="77777777" w:rsidTr="002D35AC">
        <w:trPr>
          <w:trHeight w:val="810"/>
          <w:tblHeader/>
        </w:trPr>
        <w:tc>
          <w:tcPr>
            <w:tcW w:w="1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8CEE3E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3" w:name="RANGE!A1:F23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</w:t>
            </w:r>
            <w:bookmarkEnd w:id="3"/>
          </w:p>
        </w:tc>
        <w:tc>
          <w:tcPr>
            <w:tcW w:w="1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9C7FF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rozpoczęcia pilotażu do 28.02.2021 r.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E6E0FA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1.03.2020 r. do 28.02.2021 r.</w:t>
            </w:r>
          </w:p>
        </w:tc>
      </w:tr>
      <w:tr w:rsidR="00BD785E" w:rsidRPr="000D5537" w14:paraId="78667280" w14:textId="77777777" w:rsidTr="002D35AC">
        <w:trPr>
          <w:trHeight w:val="600"/>
          <w:tblHeader/>
        </w:trPr>
        <w:tc>
          <w:tcPr>
            <w:tcW w:w="1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A01F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0447DAF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9673C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ośrodki w województwie - razem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E52F0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WOK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4AECA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ośrodki w województwie - razem</w:t>
            </w:r>
          </w:p>
        </w:tc>
      </w:tr>
      <w:tr w:rsidR="00BD785E" w:rsidRPr="000D5537" w14:paraId="2F869821" w14:textId="77777777" w:rsidTr="002D35AC">
        <w:trPr>
          <w:trHeight w:val="765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3879F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świadczeniobiorców objętych pilotażem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6A09F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CE700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6D2E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6A578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BD785E" w:rsidRPr="000D5537" w14:paraId="3CC9B9A2" w14:textId="77777777" w:rsidTr="002D35AC">
        <w:trPr>
          <w:trHeight w:val="900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986F1EB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świadczeniobiorców objętych pilotażem, u których zakończono leczenie onkologiczne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FBAC99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193675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4B0E48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FA997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D785E" w:rsidRPr="000D5537" w14:paraId="25EE0B36" w14:textId="77777777" w:rsidTr="002D35AC">
        <w:trPr>
          <w:trHeight w:val="750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6C5026" w14:textId="71EFC6D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usług w ramach infolinii onkologicznej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4B8204" w14:textId="1CDB6490" w:rsidR="00BD785E" w:rsidRPr="002D35AC" w:rsidRDefault="00DF4DAF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292 217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C7C6D9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241BD2" w14:textId="27ADA6E1" w:rsidR="00BD785E" w:rsidRPr="002D35AC" w:rsidRDefault="00DF4DAF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135 383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4C087A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D785E" w:rsidRPr="000D5537" w14:paraId="76C2D869" w14:textId="77777777" w:rsidTr="002D35AC">
        <w:trPr>
          <w:trHeight w:val="600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830D6C2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zwołanych wielodyscyplinarnych zespołów terapeutycznych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4AB9689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5BAD93E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C2CE056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0A721A8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D785E" w:rsidRPr="000D5537" w14:paraId="7DA9C1F4" w14:textId="77777777" w:rsidTr="002D35AC">
        <w:trPr>
          <w:trHeight w:val="915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BF51EB2" w14:textId="16AC1C1F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porad i konsultacji przeprowadzonych przez wojewódzki ośrodek koordynujący na zlecenie ośrodków współpracujących I </w:t>
            </w:r>
            <w:proofErr w:type="spellStart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II poziomu 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75187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EF9118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9E12A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3F18D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D785E" w:rsidRPr="000D5537" w14:paraId="05691B1A" w14:textId="77777777" w:rsidTr="002D35AC">
        <w:trPr>
          <w:trHeight w:val="360"/>
        </w:trPr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2AE84" w14:textId="6F3D44B3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 czas oczekiwania na wizyty pierwszorazowe</w:t>
            </w:r>
            <w:r w:rsidR="00862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**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6DE7FA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jelita grubego (C18-C20)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93C90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51284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42040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63056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BD785E" w:rsidRPr="000D5537" w14:paraId="49483D95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6F57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592D9A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płuca (C34)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75459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BA748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D63E7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E5A39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BD785E" w:rsidRPr="000D5537" w14:paraId="7A84AA58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6726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D51DD6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wtórny płuca (C78.0)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6461F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D19F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n.d</w:t>
            </w:r>
            <w:proofErr w:type="spellEnd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AA2C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46C8A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n.d</w:t>
            </w:r>
            <w:proofErr w:type="spellEnd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D785E" w:rsidRPr="000D5537" w14:paraId="75DD1434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E55C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76C9C5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(C50)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7721E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1C3CA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0DC85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8C6B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BD785E" w:rsidRPr="000D5537" w14:paraId="6FE8A22D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FD09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641CB6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(D05)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E2ED0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699F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n.d</w:t>
            </w:r>
            <w:proofErr w:type="spellEnd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E29C5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54082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n.d</w:t>
            </w:r>
            <w:proofErr w:type="spellEnd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D785E" w:rsidRPr="000D5537" w14:paraId="27A21F40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8837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508729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jajnika (C56)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E204A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97C0B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E87E92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C994E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BD785E" w:rsidRPr="000D5537" w14:paraId="386E2BE5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B2E5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FCAA19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gruczołu krokowego (C61)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64FAF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BB4C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42093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263DE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BD785E" w:rsidRPr="000D5537" w14:paraId="02EBC276" w14:textId="77777777" w:rsidTr="002D35AC">
        <w:trPr>
          <w:trHeight w:val="345"/>
        </w:trPr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6BE6A" w14:textId="63BF8808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Średni czas oczekiwania na badania diagnostyczne **</w:t>
            </w:r>
            <w:r w:rsidR="00862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C6F012" w14:textId="77777777" w:rsidR="00636325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Rak jelita grubego </w:t>
            </w:r>
          </w:p>
          <w:p w14:paraId="3313DAA0" w14:textId="075C2368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(C18-C20)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B6F82E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5BBE33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C7AE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24AC1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BD785E" w:rsidRPr="000D5537" w14:paraId="6475291B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C7F7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F710D3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płuca (C34)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4D1AB6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68A77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FAC29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08AA2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D785E" w:rsidRPr="000D5537" w14:paraId="19D7F1A7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E9D0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34DE2D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wtórny płuca (C78.0)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C49E1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AF502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n.d</w:t>
            </w:r>
            <w:proofErr w:type="spellEnd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63761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73C0E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n.d</w:t>
            </w:r>
            <w:proofErr w:type="spellEnd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D785E" w:rsidRPr="000D5537" w14:paraId="788246C9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6438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3775F0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(C50)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B43781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C21600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D2B214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665F6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D785E" w:rsidRPr="000D5537" w14:paraId="4CFBD10D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849B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060440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(D05)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DDF234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17E66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n.d</w:t>
            </w:r>
            <w:proofErr w:type="spellEnd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AC9C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9C8088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n.d</w:t>
            </w:r>
            <w:proofErr w:type="spellEnd"/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D785E" w:rsidRPr="000D5537" w14:paraId="62B08B32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ABEC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C37285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jajnika (C56)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D46D7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635683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FAA01B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CEE59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D785E" w:rsidRPr="000D5537" w14:paraId="28E424DA" w14:textId="77777777" w:rsidTr="002D35AC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E637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0498C9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gruczołu krokowego (C61)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61177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8CFC8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0810EC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7E0720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BD785E" w:rsidRPr="000D5537" w14:paraId="0DBF1BEE" w14:textId="77777777" w:rsidTr="002D35AC">
        <w:trPr>
          <w:trHeight w:val="960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668AF2" w14:textId="242F388B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satysfakcji świadczeniobiorców ze sprawowanej opieki, w oparciu o ankiety</w:t>
            </w:r>
            <w:r w:rsidR="0032798B"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6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(liczba wypełnionych ankiet)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D5842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F967E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D5AA8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BB4AD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D785E" w:rsidRPr="000D5537" w14:paraId="3DBAEBFE" w14:textId="77777777" w:rsidTr="002D35AC">
        <w:trPr>
          <w:trHeight w:val="300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D15" w14:textId="77777777" w:rsidR="00BD785E" w:rsidRPr="002D35AC" w:rsidRDefault="00BD785E" w:rsidP="00BD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849A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D917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CB1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D5F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5502" w14:textId="77777777" w:rsidR="00BD785E" w:rsidRPr="002D35AC" w:rsidRDefault="00BD785E" w:rsidP="00BD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785E" w:rsidRPr="000D5537" w14:paraId="573A52F5" w14:textId="77777777" w:rsidTr="00BD785E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6F0" w14:textId="3A508175" w:rsidR="00BD785E" w:rsidRPr="002D35AC" w:rsidRDefault="00BD785E" w:rsidP="00826F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785E" w:rsidRPr="000D5537" w14:paraId="117B3B4A" w14:textId="77777777" w:rsidTr="00BD785E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D5ED0" w14:textId="022E23DD" w:rsidR="00BD785E" w:rsidRPr="002D35AC" w:rsidRDefault="00BD785E" w:rsidP="00826F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ŚCO, jako jedyny ośrodek onkologiczny w regionie stale współpracuje z innymi placówkami. Wszyscy pacjenci kierowani na konsultację mają udzielane świadczenia w terminie ustalonym pomiędzy szpitalami.</w:t>
            </w:r>
          </w:p>
        </w:tc>
      </w:tr>
      <w:tr w:rsidR="00BD785E" w:rsidRPr="000D5537" w14:paraId="35C03C70" w14:textId="77777777" w:rsidTr="00BD785E">
        <w:trPr>
          <w:trHeight w:val="7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F857A" w14:textId="77777777" w:rsidR="008628A0" w:rsidRDefault="008628A0" w:rsidP="00826F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D74810D" w14:textId="1C818549" w:rsidR="008628A0" w:rsidRDefault="008628A0" w:rsidP="00826F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 Cyfra „0” oznacza brak oczekiwania na wizyty pierwszorazowe</w:t>
            </w:r>
            <w:r w:rsidR="00F43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6BFCA6B1" w14:textId="425C63FC" w:rsidR="008628A0" w:rsidRDefault="008628A0" w:rsidP="00826F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F9E44BF" w14:textId="3F2295A6" w:rsidR="00BD785E" w:rsidRPr="002D35AC" w:rsidRDefault="00BD785E" w:rsidP="00826F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  <w:r w:rsidR="0086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Średni czas oczekiwania został policzony od daty wystawienia skierowania do daty wykonania badania (nie uwzględnia ew. czasu pomiędzy wystawieniem skierowania a datą zgłoszenia się pacjenta w celu rejestracji). Wyliczenie dotyczy wszystkich badań</w:t>
            </w:r>
            <w:r w:rsidR="00F43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19848F02" w14:textId="3FF4A398" w:rsidR="007C7D75" w:rsidRDefault="007C7D75">
      <w:pP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222ED669" w14:textId="77777777" w:rsidR="00120E04" w:rsidRDefault="00120E04">
      <w:pP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br w:type="page"/>
      </w:r>
    </w:p>
    <w:p w14:paraId="56C2E0EF" w14:textId="22DA0CEE" w:rsidR="00BF2786" w:rsidRDefault="00BF2786" w:rsidP="00BF2786">
      <w:pPr>
        <w:spacing w:before="120" w:after="120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D362F2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lastRenderedPageBreak/>
        <w:t>CZĘŚCIOWE WYNIKI PILOTAŻU W WOJEWÓDZTWIE PO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DLASKIM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285"/>
        <w:gridCol w:w="1051"/>
        <w:gridCol w:w="458"/>
        <w:gridCol w:w="1613"/>
        <w:gridCol w:w="1267"/>
        <w:gridCol w:w="507"/>
        <w:gridCol w:w="1689"/>
      </w:tblGrid>
      <w:tr w:rsidR="00636325" w:rsidRPr="000D5537" w14:paraId="299CE355" w14:textId="77777777" w:rsidTr="002D35AC">
        <w:trPr>
          <w:trHeight w:val="810"/>
          <w:tblHeader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D16EF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B9BE103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rozpoczęcia pilotażu do 28.02.2021 r.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1408A7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1.03.2020 r. do 28.02.2021 r.</w:t>
            </w:r>
          </w:p>
        </w:tc>
      </w:tr>
      <w:tr w:rsidR="00636325" w:rsidRPr="000D5537" w14:paraId="400BF0BF" w14:textId="77777777" w:rsidTr="002D35AC">
        <w:trPr>
          <w:trHeight w:val="600"/>
          <w:tblHeader/>
        </w:trPr>
        <w:tc>
          <w:tcPr>
            <w:tcW w:w="1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069B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6C09C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C0DEB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ośrodki w województwie - razem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2D93E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WOK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91162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ośrodki w województwie - razem</w:t>
            </w:r>
          </w:p>
        </w:tc>
      </w:tr>
      <w:tr w:rsidR="00636325" w:rsidRPr="00636325" w14:paraId="5B0B74E5" w14:textId="77777777" w:rsidTr="002D35AC">
        <w:trPr>
          <w:trHeight w:val="76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F9EAA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świadczeniobiorców objętych pilotażem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1699FA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1DEAD5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C6AD25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ED2E06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</w:t>
            </w:r>
          </w:p>
        </w:tc>
      </w:tr>
      <w:tr w:rsidR="00636325" w:rsidRPr="00636325" w14:paraId="647DC64E" w14:textId="77777777" w:rsidTr="002D35AC">
        <w:trPr>
          <w:trHeight w:val="90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190516D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świadczeniobiorców objętych pilotażem, u których zakończono leczenie onkologiczne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90B370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40BEA8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DF0D51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0ED7E8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636325" w:rsidRPr="00636325" w14:paraId="56B266A3" w14:textId="77777777" w:rsidTr="002D35AC">
        <w:trPr>
          <w:trHeight w:val="75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A7D06B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usług w ramach infolinii onkologicznej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F35557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88712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1DB47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A1D6A1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73524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B3D9AB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36325" w:rsidRPr="00636325" w14:paraId="7ECFCF13" w14:textId="77777777" w:rsidTr="002D35AC">
        <w:trPr>
          <w:trHeight w:val="60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5185C2D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zwołanych wielodyscyplinarnych zespołów terapeutycznych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94DF78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44DF67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F59823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DA4D2F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36325" w:rsidRPr="00636325" w14:paraId="02F33585" w14:textId="77777777" w:rsidTr="002D35AC">
        <w:trPr>
          <w:trHeight w:val="91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548054A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porad i konsultacji przeprowadzonych przez wojewódzki ośrodek koordynujący na zlecenie ośrodków współpracujących I </w:t>
            </w:r>
            <w:proofErr w:type="spellStart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II poziomu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FA540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735907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B0DAD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87F2A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36325" w:rsidRPr="00636325" w14:paraId="74578FCE" w14:textId="77777777" w:rsidTr="002D35AC">
        <w:trPr>
          <w:trHeight w:val="360"/>
        </w:trPr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8D8D4" w14:textId="2CD3DC45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 czas oczekiwania na wizyty pierwszorazowe*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83089F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jelita grubego (C-18-C20)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E90C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60EE4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63BC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06AA2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36325" w:rsidRPr="00636325" w14:paraId="4F33721E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D290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7EBA8D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płuca (C34)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77DB4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E2AF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452DA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B435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36325" w:rsidRPr="00636325" w14:paraId="5A38DC67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B900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9EEF25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wtórny płuca (C78.0)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49367B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BF6E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CF82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9CFE1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36325" w:rsidRPr="00636325" w14:paraId="585C5B07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4A63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6E922E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(C50)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ABCD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C2F12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695CA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D2E76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6325" w:rsidRPr="00636325" w14:paraId="44192298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068A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90C4A8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(D05)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549C8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C551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978F2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1C617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6325" w:rsidRPr="00636325" w14:paraId="77AD9ABA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EA94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43DC93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jajnika (C56)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1BEB5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DEE4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B39C4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3E67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36325" w:rsidRPr="00636325" w14:paraId="52041AD3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CBA1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31B549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gruczołu krokowego (C61)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4642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3BDBB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28F4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FFA5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36325" w:rsidRPr="00636325" w14:paraId="7390889C" w14:textId="77777777" w:rsidTr="002D35AC">
        <w:trPr>
          <w:trHeight w:val="345"/>
        </w:trPr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5F031" w14:textId="56B6212D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 czas oczekiwania na badania diagnostyczne*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5C2B9D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jelita grubego (C-18-C20)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021F7F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F267A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F3D9E7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FB6CFA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36325" w:rsidRPr="00636325" w14:paraId="0065646D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C80E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686C78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płuca (C34)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1617F4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A1B5B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62C84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68C6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36325" w:rsidRPr="00636325" w14:paraId="70FE6EB6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59A0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DD3987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wtórny płuca (C78.0)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F4AF36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262D0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C5A83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D434E8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36325" w:rsidRPr="00636325" w14:paraId="0DA39225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326D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9D789C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(C50)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28B9A3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66833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B83907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0ACD7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636325" w:rsidRPr="00636325" w14:paraId="05DF9DB7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4758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FFD3C3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(D05)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B9CA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66ABE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DEB8E1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676D7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636325" w:rsidRPr="00636325" w14:paraId="4A7BB7FD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3864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2A3609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jajnika (C56)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7CBB6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EFA28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CF9FB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2FA28B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36325" w:rsidRPr="00636325" w14:paraId="7C2B41DB" w14:textId="77777777" w:rsidTr="002D35AC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4ABE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9608BA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gruczołu krokowego (C61)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D9C021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C95CA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B647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ADDC9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36325" w:rsidRPr="00636325" w14:paraId="061CE579" w14:textId="77777777" w:rsidTr="002D35AC">
        <w:trPr>
          <w:trHeight w:val="96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7AF91C" w14:textId="77777777" w:rsidR="00952EA8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satysfakcji świadczeniobiorców ze sprawowanej opieki, w oparciu o ankiety</w:t>
            </w:r>
          </w:p>
          <w:p w14:paraId="228A6699" w14:textId="74B39F81" w:rsidR="00636325" w:rsidRPr="002D35AC" w:rsidRDefault="00636325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(liczba wypełnionych ankiet)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8EAEC2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D324A4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316B18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E61E15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36325" w:rsidRPr="000D5537" w14:paraId="391F0840" w14:textId="77777777" w:rsidTr="00636325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FE45" w14:textId="77777777" w:rsidR="00952EA8" w:rsidRPr="002D35AC" w:rsidRDefault="00952EA8" w:rsidP="00826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5019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76F2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DAA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851A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0F8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2EA8" w:rsidRPr="000D5537" w14:paraId="00A1A046" w14:textId="77777777" w:rsidTr="002D35AC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54E4" w14:textId="04EE1ACD" w:rsidR="00952EA8" w:rsidRPr="002D35AC" w:rsidRDefault="00952EA8" w:rsidP="00826F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 w:rsidR="005E1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rzedstawione wyliczenia będą wiarygodniejsze po zakończeniu kwartału, zgodnie ze sprawozdawczością wymaganą przez NFZ i MZ oraz po przygotowaniu odpowiednich raportów w systemie HIS</w:t>
            </w:r>
            <w:r w:rsidR="00F43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4271B3D5" w14:textId="77777777" w:rsidR="004F4D00" w:rsidRDefault="004F4D00" w:rsidP="004F4D00">
      <w:pP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7D404A81" w14:textId="26666D09" w:rsidR="00BF2786" w:rsidRPr="00D362F2" w:rsidRDefault="00D362F2" w:rsidP="004F4D00">
      <w:pPr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D362F2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CZĘŚCIOWE WYNIKI PILOTAŻU W WOJEWÓDZTWIE POMORSKIM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761"/>
        <w:gridCol w:w="723"/>
        <w:gridCol w:w="1804"/>
        <w:gridCol w:w="1167"/>
        <w:gridCol w:w="1931"/>
      </w:tblGrid>
      <w:tr w:rsidR="00952EA8" w:rsidRPr="000D5537" w14:paraId="26CD1B71" w14:textId="77777777" w:rsidTr="002D35AC">
        <w:trPr>
          <w:trHeight w:val="810"/>
          <w:tblHeader/>
        </w:trPr>
        <w:tc>
          <w:tcPr>
            <w:tcW w:w="1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D078AC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B254CB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rozpoczęcia pilotażu do 28.02.2021 r.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06BE8C1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1.03.2020 r. do 28.02.2021 r.</w:t>
            </w:r>
          </w:p>
        </w:tc>
      </w:tr>
      <w:tr w:rsidR="00952EA8" w:rsidRPr="000D5537" w14:paraId="4B8AC0E0" w14:textId="77777777" w:rsidTr="002D35AC">
        <w:trPr>
          <w:trHeight w:val="600"/>
          <w:tblHeader/>
        </w:trPr>
        <w:tc>
          <w:tcPr>
            <w:tcW w:w="19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8409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B019C5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WOK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D985D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ośrodki w województwie - razem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F14D53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WOK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301B0E" w14:textId="77777777" w:rsidR="00952EA8" w:rsidRPr="002D35AC" w:rsidRDefault="00952EA8" w:rsidP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ośrodki w województwie - razem</w:t>
            </w:r>
          </w:p>
        </w:tc>
      </w:tr>
      <w:tr w:rsidR="00952EA8" w:rsidRPr="000D5537" w14:paraId="2AF1E61A" w14:textId="77777777" w:rsidTr="002D35AC">
        <w:trPr>
          <w:trHeight w:val="765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63495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świadczeniobiorców objętych pilotażem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BFE7C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ECA63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73505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9E0CD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873</w:t>
            </w:r>
          </w:p>
        </w:tc>
      </w:tr>
      <w:tr w:rsidR="00952EA8" w:rsidRPr="000D5537" w14:paraId="37AE58E2" w14:textId="77777777" w:rsidTr="002D35AC">
        <w:trPr>
          <w:trHeight w:val="90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D152DD1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świadczeniobiorców objętych pilotażem, u których zakończono leczenie onkologiczne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8B7182" w14:textId="5394682B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8E661D" w14:textId="7F6D2CA2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F030DD" w14:textId="1A563C1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8F6F51" w14:textId="794BEDEF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EA8" w:rsidRPr="000D5537" w14:paraId="285A6C3D" w14:textId="77777777" w:rsidTr="002D35AC">
        <w:trPr>
          <w:trHeight w:val="75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9F273B" w14:textId="77777777" w:rsidR="00952EA8" w:rsidRPr="002D35AC" w:rsidRDefault="00952EA8" w:rsidP="0092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usług w ramach infolinii onkologicznej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B10184" w14:textId="70F3D0C6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93DAD4" w14:textId="77777777" w:rsidR="00952EA8" w:rsidRPr="002D35AC" w:rsidRDefault="00952EA8" w:rsidP="00924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3EC17E" w14:textId="549D2BF2" w:rsidR="00952EA8" w:rsidRPr="002D35AC" w:rsidRDefault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91EDBD" w14:textId="77777777" w:rsidR="00952EA8" w:rsidRPr="002D35AC" w:rsidRDefault="0095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52EA8" w:rsidRPr="000D5537" w14:paraId="2183E19A" w14:textId="77777777" w:rsidTr="002D35AC">
        <w:trPr>
          <w:trHeight w:val="60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F72E50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zwołanych wielodyscyplinarnych zespołów terapeutycznych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8B877D9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7DA8FEF" w14:textId="77777777" w:rsidR="00952EA8" w:rsidRPr="002D35AC" w:rsidRDefault="00952EA8" w:rsidP="00924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D07DF8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77D6B22" w14:textId="77777777" w:rsidR="00952EA8" w:rsidRPr="002D35AC" w:rsidRDefault="00952EA8" w:rsidP="00924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52EA8" w:rsidRPr="000D5537" w14:paraId="21AC2DAC" w14:textId="77777777" w:rsidTr="002D35AC">
        <w:trPr>
          <w:trHeight w:val="915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B729A4C" w14:textId="06D53DFE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porad i konsultacji przeprowadzonych przez wojewódzki ośrodek koordynujący na zlecenie ośrodków współpracujących I </w:t>
            </w:r>
            <w:proofErr w:type="spellStart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II poziomu</w:t>
            </w:r>
            <w:r w:rsidR="005E1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964F24" w14:textId="0702A78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6709BE" w14:textId="77777777" w:rsidR="00952EA8" w:rsidRPr="002D35AC" w:rsidRDefault="00952EA8" w:rsidP="00924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DACEC" w14:textId="0BE19A6C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F869E" w14:textId="77777777" w:rsidR="00952EA8" w:rsidRPr="002D35AC" w:rsidRDefault="00952EA8" w:rsidP="00924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52EA8" w:rsidRPr="000D5537" w14:paraId="645BF8F5" w14:textId="77777777" w:rsidTr="002D35AC">
        <w:trPr>
          <w:trHeight w:val="360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0E3E4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Średni czas oczekiwania na wizyty pierwszorazowe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139BD0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jelita grubego (C-18-C20)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4D494F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2583B" w14:textId="2CABD209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FA514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6CBB59" w14:textId="56A5650E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EA8" w:rsidRPr="000D5537" w14:paraId="0A293B20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AE9D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B98E30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płuca (C34)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0700C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76770" w14:textId="2222B65C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7D688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ADE4A3" w14:textId="28BAACF5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EA8" w:rsidRPr="000D5537" w14:paraId="2BCAFA37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0267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3F2A11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wtórny płuca (C78.0)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3DC9BC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0F901" w14:textId="1C89FC10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D6EAF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C08CF" w14:textId="7497A91B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EA8" w:rsidRPr="000D5537" w14:paraId="5CFA8904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E420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5578CA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(C50)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07BD11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D0D4C" w14:textId="793F72F5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23C119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3C789" w14:textId="122A0E7A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EA8" w:rsidRPr="000D5537" w14:paraId="59AE9FBA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4BC7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D2C54C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(D05)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7AA55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E61C9" w14:textId="727A2054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A2CDF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81A1E" w14:textId="523737B1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EA8" w:rsidRPr="000D5537" w14:paraId="02CA0875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9091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E0D706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jajnika (C56)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604E8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6F858" w14:textId="2B6060D6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22D6C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55FD3" w14:textId="2B6FBBEC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EA8" w:rsidRPr="000D5537" w14:paraId="0297D2B9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2C13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AE97E4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gruczołu krokowego (C61)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5DF25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E55B3" w14:textId="78891FD4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A83E6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30085" w14:textId="3F96F2B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EA8" w:rsidRPr="000D5537" w14:paraId="2DAC7521" w14:textId="77777777" w:rsidTr="002D35AC">
        <w:trPr>
          <w:trHeight w:val="345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7BC5F9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 czas oczekiwania na badania diagnostyczne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8668EDE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jelita grubego (C-18-C20)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83A7FA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FE6AE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D17848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00182E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52EA8" w:rsidRPr="000D5537" w14:paraId="1B019470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335A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BCDEA9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płuca (C34)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B6C081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3D6CD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44A51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B3E915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52EA8" w:rsidRPr="000D5537" w14:paraId="47B925B5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3CF1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36C27E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wtórny płuca (C78.0)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0268E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63D3B3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BD6A1F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9CF6E9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52EA8" w:rsidRPr="000D5537" w14:paraId="32A31F4C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5B29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FDF589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(C50)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140BE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DD86CC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893A48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DA943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2EA8" w:rsidRPr="000D5537" w14:paraId="58B07AB1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63AE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A0CA9C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piersi (D05)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9B444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D55644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5B4611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BF26F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52EA8" w:rsidRPr="000D5537" w14:paraId="30CB59F0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C793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77FBC3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jajnika (C56)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024BE0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5704B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1D5A0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D0F93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52EA8" w:rsidRPr="000D5537" w14:paraId="5D8AF889" w14:textId="77777777" w:rsidTr="002D35AC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165F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D4E73F" w14:textId="77777777" w:rsidR="00952EA8" w:rsidRPr="002D35AC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gruczołu krokowego (C61)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82038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B8F75C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6575E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828DE9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52EA8" w:rsidRPr="000D5537" w14:paraId="05DF7776" w14:textId="77777777" w:rsidTr="002D35AC">
        <w:trPr>
          <w:trHeight w:val="96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D0B74F" w14:textId="77777777" w:rsidR="00636325" w:rsidRDefault="00952EA8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satysfakcji świadczeniobiorców ze sprawowanej opieki, w oparciu o ankiety</w:t>
            </w:r>
            <w:r w:rsidR="00636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76D9841" w14:textId="10B8ACFA" w:rsidR="00952EA8" w:rsidRPr="002D35AC" w:rsidRDefault="00636325" w:rsidP="009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(liczba wypełnionych ankiet)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6D274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461A4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29E95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A87FB" w14:textId="77777777" w:rsidR="00952EA8" w:rsidRPr="002D35AC" w:rsidRDefault="00952EA8" w:rsidP="002D3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14:paraId="1E2BDE1D" w14:textId="02D0FD0B" w:rsidR="00865259" w:rsidRDefault="00865259" w:rsidP="00865259">
      <w:pPr>
        <w:tabs>
          <w:tab w:val="left" w:pos="1710"/>
        </w:tabs>
        <w:jc w:val="both"/>
        <w:rPr>
          <w:rFonts w:ascii="Arial" w:hAnsi="Arial" w:cs="Arial"/>
          <w:color w:val="4472C4" w:themeColor="accent1"/>
        </w:rPr>
      </w:pPr>
    </w:p>
    <w:p w14:paraId="26884851" w14:textId="19D46D2A" w:rsidR="008628A0" w:rsidRDefault="008628A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6F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="005E19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Cyfra „0” oznacza </w:t>
      </w:r>
      <w:r w:rsidRPr="00826F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 odnotowanych porad i konsultacji</w:t>
      </w:r>
      <w:r w:rsidR="00F43F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56C99B0" w14:textId="3250959B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883CA4" w14:textId="7D8B378A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DEB2C6" w14:textId="5A7D49B1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80FD7F" w14:textId="56899DB8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74789A" w14:textId="2743A734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724816" w14:textId="604457CC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E904DA" w14:textId="5E6BED92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85D3BA" w14:textId="421870AB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A731C1" w14:textId="2F2C8697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3421A6" w14:textId="1CFBD27F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C708EA" w14:textId="05ADA405" w:rsidR="004F4D00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2F7C896" w14:textId="0F2CE340" w:rsidR="004F4D00" w:rsidRDefault="004F4D00" w:rsidP="004F4D00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</w:p>
    <w:p w14:paraId="4816B822" w14:textId="2AA2DECC" w:rsidR="004F4D00" w:rsidRDefault="004F4D00" w:rsidP="004F4D00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</w:p>
    <w:p w14:paraId="06B4FFA5" w14:textId="370AAE2F" w:rsidR="004F4D00" w:rsidRPr="004F4D00" w:rsidRDefault="004F4D00" w:rsidP="004F4D00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4472C4" w:themeColor="accent1"/>
          <w:u w:val="single"/>
        </w:rPr>
      </w:pPr>
      <w:r w:rsidRPr="004F4D00">
        <w:rPr>
          <w:rFonts w:ascii="Arial" w:hAnsi="Arial" w:cs="Arial"/>
          <w:b/>
          <w:bCs/>
          <w:color w:val="4472C4" w:themeColor="accent1"/>
          <w:u w:val="single"/>
        </w:rPr>
        <w:t xml:space="preserve">ZESTAWIENIE LICZBOWE I KOSZTOWE DOTYCZĄCE PILOTAŻU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507"/>
        <w:gridCol w:w="1188"/>
        <w:gridCol w:w="1177"/>
        <w:gridCol w:w="1102"/>
        <w:gridCol w:w="896"/>
        <w:gridCol w:w="1468"/>
        <w:gridCol w:w="1639"/>
        <w:gridCol w:w="947"/>
      </w:tblGrid>
      <w:tr w:rsidR="004F4D00" w:rsidRPr="00304C1D" w14:paraId="04B594B8" w14:textId="77777777" w:rsidTr="00F45745">
        <w:trPr>
          <w:tblHeader/>
        </w:trPr>
        <w:tc>
          <w:tcPr>
            <w:tcW w:w="1507" w:type="dxa"/>
            <w:shd w:val="clear" w:color="auto" w:fill="9CC2E5" w:themeFill="accent5" w:themeFillTint="99"/>
            <w:vAlign w:val="center"/>
          </w:tcPr>
          <w:p w14:paraId="26D7131C" w14:textId="77777777" w:rsidR="004F4D00" w:rsidRPr="00304C1D" w:rsidRDefault="004F4D00" w:rsidP="00F457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Województwo</w:t>
            </w:r>
          </w:p>
        </w:tc>
        <w:tc>
          <w:tcPr>
            <w:tcW w:w="1329" w:type="dxa"/>
            <w:shd w:val="clear" w:color="auto" w:fill="9CC2E5" w:themeFill="accent5" w:themeFillTint="99"/>
            <w:vAlign w:val="center"/>
          </w:tcPr>
          <w:p w14:paraId="2404F350" w14:textId="77777777" w:rsidR="004F4D00" w:rsidRPr="00304C1D" w:rsidRDefault="004F4D00" w:rsidP="00F457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Czas dołączenia</w:t>
            </w:r>
          </w:p>
        </w:tc>
        <w:tc>
          <w:tcPr>
            <w:tcW w:w="1012" w:type="dxa"/>
            <w:shd w:val="clear" w:color="auto" w:fill="9CC2E5" w:themeFill="accent5" w:themeFillTint="99"/>
            <w:vAlign w:val="center"/>
          </w:tcPr>
          <w:p w14:paraId="6CF70B3E" w14:textId="77777777" w:rsidR="004F4D00" w:rsidRPr="00304C1D" w:rsidRDefault="004F4D00" w:rsidP="00F457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Okres trwania (do 31.12.2020)</w:t>
            </w:r>
          </w:p>
        </w:tc>
        <w:tc>
          <w:tcPr>
            <w:tcW w:w="1118" w:type="dxa"/>
            <w:shd w:val="clear" w:color="auto" w:fill="9CC2E5" w:themeFill="accent5" w:themeFillTint="99"/>
            <w:vAlign w:val="center"/>
          </w:tcPr>
          <w:p w14:paraId="5C7738CA" w14:textId="77777777" w:rsidR="004F4D00" w:rsidRPr="00304C1D" w:rsidRDefault="004F4D00" w:rsidP="00F457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Liczba pacjentów – stan na dzień 1.01.2021</w:t>
            </w:r>
          </w:p>
        </w:tc>
        <w:tc>
          <w:tcPr>
            <w:tcW w:w="896" w:type="dxa"/>
            <w:shd w:val="clear" w:color="auto" w:fill="9CC2E5" w:themeFill="accent5" w:themeFillTint="99"/>
            <w:vAlign w:val="center"/>
          </w:tcPr>
          <w:p w14:paraId="64CA938B" w14:textId="77777777" w:rsidR="004F4D00" w:rsidRPr="00304C1D" w:rsidRDefault="004F4D00" w:rsidP="00F457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Liczba szpitali w pilotażu</w:t>
            </w:r>
          </w:p>
        </w:tc>
        <w:tc>
          <w:tcPr>
            <w:tcW w:w="1468" w:type="dxa"/>
            <w:shd w:val="clear" w:color="auto" w:fill="9CC2E5" w:themeFill="accent5" w:themeFillTint="99"/>
            <w:vAlign w:val="center"/>
          </w:tcPr>
          <w:p w14:paraId="4A8B267E" w14:textId="77777777" w:rsidR="004F4D00" w:rsidRPr="00304C1D" w:rsidRDefault="004F4D00" w:rsidP="00F457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Wartość udzielonych świadczeń zdrowotnych ogółem</w:t>
            </w:r>
          </w:p>
        </w:tc>
        <w:tc>
          <w:tcPr>
            <w:tcW w:w="1647" w:type="dxa"/>
            <w:shd w:val="clear" w:color="auto" w:fill="9CC2E5" w:themeFill="accent5" w:themeFillTint="99"/>
            <w:vAlign w:val="center"/>
          </w:tcPr>
          <w:p w14:paraId="5750984C" w14:textId="77777777" w:rsidR="004F4D00" w:rsidRPr="00304C1D" w:rsidRDefault="004F4D00" w:rsidP="00F457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W tym wartość współczynników korygujących wynikających z pilotażu </w:t>
            </w:r>
          </w:p>
        </w:tc>
        <w:tc>
          <w:tcPr>
            <w:tcW w:w="947" w:type="dxa"/>
            <w:shd w:val="clear" w:color="auto" w:fill="9CC2E5" w:themeFill="accent5" w:themeFillTint="99"/>
            <w:vAlign w:val="center"/>
          </w:tcPr>
          <w:p w14:paraId="49EF845C" w14:textId="77777777" w:rsidR="004F4D00" w:rsidRPr="00304C1D" w:rsidRDefault="004F4D00" w:rsidP="00F457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Kwota na pacjenta </w:t>
            </w:r>
          </w:p>
        </w:tc>
      </w:tr>
      <w:tr w:rsidR="004F4D00" w:rsidRPr="00304C1D" w14:paraId="6688D03A" w14:textId="77777777" w:rsidTr="00F45745">
        <w:trPr>
          <w:trHeight w:val="471"/>
        </w:trPr>
        <w:tc>
          <w:tcPr>
            <w:tcW w:w="1507" w:type="dxa"/>
            <w:shd w:val="clear" w:color="auto" w:fill="auto"/>
            <w:vAlign w:val="center"/>
          </w:tcPr>
          <w:p w14:paraId="4516FB69" w14:textId="77777777" w:rsidR="004F4D00" w:rsidRPr="00304C1D" w:rsidRDefault="004F4D00" w:rsidP="00F457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sz w:val="18"/>
                <w:szCs w:val="18"/>
              </w:rPr>
              <w:t>Dolnośląskie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DB7B733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Luty 2019 r.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BFBE104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23 m-ce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8F426D9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9 064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9834F36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D82B889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91 244 364,78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AEE4B85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16 430 661,59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2D3E870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3 065,11</w:t>
            </w:r>
          </w:p>
        </w:tc>
      </w:tr>
      <w:tr w:rsidR="004F4D00" w:rsidRPr="00304C1D" w14:paraId="67E8A5B9" w14:textId="77777777" w:rsidTr="00F45745">
        <w:trPr>
          <w:trHeight w:val="549"/>
        </w:trPr>
        <w:tc>
          <w:tcPr>
            <w:tcW w:w="1507" w:type="dxa"/>
            <w:shd w:val="clear" w:color="auto" w:fill="auto"/>
            <w:vAlign w:val="center"/>
          </w:tcPr>
          <w:p w14:paraId="29A91C1C" w14:textId="77777777" w:rsidR="004F4D00" w:rsidRPr="00304C1D" w:rsidRDefault="004F4D00" w:rsidP="00F457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sz w:val="18"/>
                <w:szCs w:val="18"/>
              </w:rPr>
              <w:t>Świętokrzyskie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7A82C3F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Luty 2019 r.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B65110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23 m-ce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250CD66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3 066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E47BD3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86F2938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35 452 416,36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B8CFB78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7 113 844,04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A981849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2 651,60</w:t>
            </w:r>
          </w:p>
        </w:tc>
      </w:tr>
      <w:tr w:rsidR="004F4D00" w:rsidRPr="00304C1D" w14:paraId="70419C10" w14:textId="77777777" w:rsidTr="00F45745">
        <w:tc>
          <w:tcPr>
            <w:tcW w:w="1507" w:type="dxa"/>
            <w:shd w:val="clear" w:color="auto" w:fill="auto"/>
            <w:vAlign w:val="center"/>
          </w:tcPr>
          <w:p w14:paraId="632A980D" w14:textId="77777777" w:rsidR="004F4D00" w:rsidRPr="00304C1D" w:rsidRDefault="004F4D00" w:rsidP="00F457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sz w:val="18"/>
                <w:szCs w:val="18"/>
              </w:rPr>
              <w:t>Podlaskie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4180F80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Październik 2019 r.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A17871A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15 m-</w:t>
            </w:r>
            <w:proofErr w:type="spellStart"/>
            <w:r w:rsidRPr="00304C1D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18" w:type="dxa"/>
            <w:shd w:val="clear" w:color="auto" w:fill="auto"/>
            <w:vAlign w:val="center"/>
          </w:tcPr>
          <w:p w14:paraId="53A6D5F9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1 053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6B9004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380CC23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11 116 330,68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F2416A8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2 066 362,30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68610DC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1 947,52</w:t>
            </w:r>
          </w:p>
        </w:tc>
      </w:tr>
      <w:tr w:rsidR="004F4D00" w:rsidRPr="00304C1D" w14:paraId="05FC2880" w14:textId="77777777" w:rsidTr="00F45745">
        <w:tc>
          <w:tcPr>
            <w:tcW w:w="1507" w:type="dxa"/>
            <w:shd w:val="clear" w:color="auto" w:fill="auto"/>
            <w:vAlign w:val="center"/>
          </w:tcPr>
          <w:p w14:paraId="200D1158" w14:textId="77777777" w:rsidR="004F4D00" w:rsidRPr="00304C1D" w:rsidRDefault="004F4D00" w:rsidP="00F457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sz w:val="18"/>
                <w:szCs w:val="18"/>
              </w:rPr>
              <w:t>Pomorskie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05F1671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Kwiecień 2020 r.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AECACBD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9 m-</w:t>
            </w:r>
            <w:proofErr w:type="spellStart"/>
            <w:r w:rsidRPr="00304C1D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18" w:type="dxa"/>
            <w:shd w:val="clear" w:color="auto" w:fill="auto"/>
            <w:vAlign w:val="center"/>
          </w:tcPr>
          <w:p w14:paraId="74ABB7A2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1 632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B0AE0B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711E749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18 760 483,94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4E2CF23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3 976 311,26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C312F9A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4 929,05</w:t>
            </w:r>
          </w:p>
        </w:tc>
      </w:tr>
      <w:tr w:rsidR="004F4D00" w:rsidRPr="00304C1D" w14:paraId="12E5E63E" w14:textId="77777777" w:rsidTr="00F45745">
        <w:trPr>
          <w:trHeight w:val="489"/>
        </w:trPr>
        <w:tc>
          <w:tcPr>
            <w:tcW w:w="3848" w:type="dxa"/>
            <w:gridSpan w:val="3"/>
            <w:shd w:val="clear" w:color="auto" w:fill="FFF2CC" w:themeFill="accent4" w:themeFillTint="33"/>
            <w:vAlign w:val="center"/>
          </w:tcPr>
          <w:p w14:paraId="35AA6C39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8" w:type="dxa"/>
            <w:shd w:val="clear" w:color="auto" w:fill="FFF2CC" w:themeFill="accent4" w:themeFillTint="33"/>
            <w:vAlign w:val="center"/>
          </w:tcPr>
          <w:p w14:paraId="6606A99C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14 815</w:t>
            </w:r>
          </w:p>
        </w:tc>
        <w:tc>
          <w:tcPr>
            <w:tcW w:w="896" w:type="dxa"/>
            <w:shd w:val="clear" w:color="auto" w:fill="FFF2CC" w:themeFill="accent4" w:themeFillTint="33"/>
            <w:vAlign w:val="center"/>
          </w:tcPr>
          <w:p w14:paraId="28A5BCE2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68" w:type="dxa"/>
            <w:shd w:val="clear" w:color="auto" w:fill="FFF2CC" w:themeFill="accent4" w:themeFillTint="33"/>
            <w:vAlign w:val="center"/>
          </w:tcPr>
          <w:p w14:paraId="794C0390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156</w:t>
            </w:r>
            <w:r>
              <w:rPr>
                <w:rFonts w:ascii="Arial" w:hAnsi="Arial" w:cs="Arial"/>
                <w:sz w:val="18"/>
                <w:szCs w:val="18"/>
              </w:rPr>
              <w:t> 573 595,76</w:t>
            </w:r>
          </w:p>
        </w:tc>
        <w:tc>
          <w:tcPr>
            <w:tcW w:w="1647" w:type="dxa"/>
            <w:shd w:val="clear" w:color="auto" w:fill="FFF2CC" w:themeFill="accent4" w:themeFillTint="33"/>
            <w:vAlign w:val="center"/>
          </w:tcPr>
          <w:p w14:paraId="7431A6DE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29 587 179,19</w:t>
            </w:r>
          </w:p>
        </w:tc>
        <w:tc>
          <w:tcPr>
            <w:tcW w:w="947" w:type="dxa"/>
            <w:shd w:val="clear" w:color="auto" w:fill="FFF2CC" w:themeFill="accent4" w:themeFillTint="33"/>
            <w:vAlign w:val="center"/>
          </w:tcPr>
          <w:p w14:paraId="2FDB80B8" w14:textId="77777777" w:rsidR="004F4D00" w:rsidRPr="00304C1D" w:rsidRDefault="004F4D00" w:rsidP="00F45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C1D">
              <w:rPr>
                <w:rFonts w:ascii="Arial" w:hAnsi="Arial" w:cs="Arial"/>
                <w:sz w:val="18"/>
                <w:szCs w:val="18"/>
              </w:rPr>
              <w:t>2 024,97</w:t>
            </w:r>
          </w:p>
        </w:tc>
      </w:tr>
    </w:tbl>
    <w:p w14:paraId="18BE925F" w14:textId="77777777" w:rsidR="004F4D00" w:rsidRDefault="004F4D00" w:rsidP="004F4D00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20202AD" w14:textId="77777777" w:rsidR="004F4D00" w:rsidRDefault="004F4D00" w:rsidP="004F4D00">
      <w:pPr>
        <w:shd w:val="clear" w:color="auto" w:fill="FFFFFF" w:themeFill="background1"/>
        <w:jc w:val="both"/>
        <w:rPr>
          <w:rFonts w:ascii="Arial" w:hAnsi="Arial" w:cs="Arial"/>
        </w:rPr>
      </w:pPr>
      <w:r w:rsidRPr="00F37195">
        <w:rPr>
          <w:rFonts w:ascii="Arial" w:hAnsi="Arial" w:cs="Arial"/>
        </w:rPr>
        <w:t xml:space="preserve">Łącznie na realizację </w:t>
      </w:r>
      <w:r>
        <w:rPr>
          <w:rFonts w:ascii="Arial" w:hAnsi="Arial" w:cs="Arial"/>
        </w:rPr>
        <w:t xml:space="preserve">pilotażu </w:t>
      </w:r>
      <w:r w:rsidRPr="004C261C">
        <w:rPr>
          <w:rFonts w:ascii="Arial" w:hAnsi="Arial" w:cs="Arial"/>
        </w:rPr>
        <w:t>oraz świadczeń zdrowotnych zagwarantowanych w ramach kontraktu z NFZ</w:t>
      </w:r>
      <w:r>
        <w:rPr>
          <w:rFonts w:ascii="Arial" w:hAnsi="Arial" w:cs="Arial"/>
          <w:color w:val="C45911" w:themeColor="accent2" w:themeShade="BF"/>
        </w:rPr>
        <w:t xml:space="preserve">, </w:t>
      </w:r>
      <w:r w:rsidRPr="00F37195">
        <w:rPr>
          <w:rFonts w:ascii="Arial" w:hAnsi="Arial" w:cs="Arial"/>
        </w:rPr>
        <w:t>od początku jego trwania wydano 156,57 mln zł</w:t>
      </w:r>
      <w:r>
        <w:rPr>
          <w:rFonts w:ascii="Arial" w:hAnsi="Arial" w:cs="Arial"/>
        </w:rPr>
        <w:t xml:space="preserve"> </w:t>
      </w:r>
      <w:r w:rsidRPr="00F37195">
        <w:rPr>
          <w:rFonts w:ascii="Arial" w:hAnsi="Arial" w:cs="Arial"/>
        </w:rPr>
        <w:t xml:space="preserve">(w tym, </w:t>
      </w:r>
      <w:r w:rsidRPr="00F37195">
        <w:rPr>
          <w:rFonts w:ascii="Arial" w:hAnsi="Arial" w:cs="Arial"/>
          <w:b/>
          <w:bCs/>
          <w:color w:val="4472C4" w:themeColor="accent1"/>
        </w:rPr>
        <w:t>29,</w:t>
      </w:r>
      <w:r w:rsidRPr="00137F8A">
        <w:rPr>
          <w:rFonts w:ascii="Arial" w:hAnsi="Arial" w:cs="Arial"/>
          <w:b/>
          <w:bCs/>
          <w:color w:val="4472C4" w:themeColor="accent1"/>
        </w:rPr>
        <w:t xml:space="preserve">59 mln </w:t>
      </w:r>
      <w:r w:rsidRPr="00F37195">
        <w:rPr>
          <w:rFonts w:ascii="Arial" w:hAnsi="Arial" w:cs="Arial"/>
          <w:b/>
          <w:bCs/>
          <w:color w:val="4472C4" w:themeColor="accent1"/>
        </w:rPr>
        <w:t>zł</w:t>
      </w:r>
      <w:r w:rsidRPr="00F37195">
        <w:rPr>
          <w:rFonts w:ascii="Arial" w:hAnsi="Arial" w:cs="Arial"/>
        </w:rPr>
        <w:t xml:space="preserve"> stanowi koszt, wynikający z zastosowania współczynników korygujących, określonych w § 11 ust 3 rozporządzenia). Poniesiona kwota </w:t>
      </w:r>
      <w:r w:rsidRPr="00F37195">
        <w:rPr>
          <w:rFonts w:ascii="Arial" w:hAnsi="Arial" w:cs="Arial"/>
          <w:b/>
          <w:bCs/>
          <w:color w:val="4472C4" w:themeColor="accent1"/>
        </w:rPr>
        <w:t>29,59 mln zł</w:t>
      </w:r>
      <w:r w:rsidRPr="00F37195">
        <w:rPr>
          <w:rFonts w:ascii="Arial" w:hAnsi="Arial" w:cs="Arial"/>
          <w:color w:val="4472C4" w:themeColor="accent1"/>
        </w:rPr>
        <w:t xml:space="preserve"> </w:t>
      </w:r>
      <w:r w:rsidRPr="00F37195">
        <w:rPr>
          <w:rFonts w:ascii="Arial" w:hAnsi="Arial" w:cs="Arial"/>
        </w:rPr>
        <w:t xml:space="preserve">stanowi </w:t>
      </w:r>
      <w:r w:rsidRPr="00F37195">
        <w:rPr>
          <w:rFonts w:ascii="Arial" w:hAnsi="Arial" w:cs="Arial"/>
          <w:b/>
          <w:bCs/>
          <w:color w:val="4472C4" w:themeColor="accent1"/>
        </w:rPr>
        <w:t>61,6%</w:t>
      </w:r>
      <w:r w:rsidRPr="00F37195">
        <w:rPr>
          <w:rFonts w:ascii="Arial" w:hAnsi="Arial" w:cs="Arial"/>
          <w:color w:val="4472C4" w:themeColor="accent1"/>
        </w:rPr>
        <w:t xml:space="preserve"> </w:t>
      </w:r>
      <w:r w:rsidRPr="00F37195">
        <w:rPr>
          <w:rFonts w:ascii="Arial" w:hAnsi="Arial" w:cs="Arial"/>
        </w:rPr>
        <w:t xml:space="preserve">udziału kwoty całkowitych kosztów pilotażu oszacowanych na </w:t>
      </w:r>
      <w:r w:rsidRPr="004D0DC4">
        <w:rPr>
          <w:rFonts w:ascii="Arial" w:hAnsi="Arial" w:cs="Arial"/>
          <w:b/>
          <w:bCs/>
          <w:color w:val="4472C4" w:themeColor="accent1"/>
        </w:rPr>
        <w:t>48 mln zł.</w:t>
      </w:r>
    </w:p>
    <w:p w14:paraId="022DA196" w14:textId="77777777" w:rsidR="004F4D00" w:rsidRDefault="004F4D00" w:rsidP="004F4D00">
      <w:pPr>
        <w:shd w:val="clear" w:color="auto" w:fill="FFFFFF" w:themeFill="background1"/>
        <w:jc w:val="both"/>
        <w:rPr>
          <w:rFonts w:ascii="Arial" w:hAnsi="Arial" w:cs="Arial"/>
        </w:rPr>
      </w:pPr>
      <w:r w:rsidRPr="004C261C">
        <w:rPr>
          <w:rFonts w:ascii="Arial" w:hAnsi="Arial" w:cs="Arial"/>
        </w:rPr>
        <w:t xml:space="preserve">Kwota </w:t>
      </w:r>
      <w:r w:rsidRPr="004F4D00">
        <w:rPr>
          <w:rFonts w:ascii="Arial" w:hAnsi="Arial" w:cs="Arial"/>
          <w:b/>
          <w:bCs/>
          <w:color w:val="4472C4" w:themeColor="accent1"/>
        </w:rPr>
        <w:t>156,57 mln zł</w:t>
      </w:r>
      <w:r w:rsidRPr="004F4D00">
        <w:rPr>
          <w:rFonts w:ascii="Arial" w:hAnsi="Arial" w:cs="Arial"/>
          <w:color w:val="4472C4" w:themeColor="accent1"/>
        </w:rPr>
        <w:t xml:space="preserve"> </w:t>
      </w:r>
      <w:r w:rsidRPr="004C261C">
        <w:rPr>
          <w:rFonts w:ascii="Arial" w:hAnsi="Arial" w:cs="Arial"/>
        </w:rPr>
        <w:t>to całkowita wartość rozliczonych świadczeń opieki zdrowotnej udzielonych w ramach pilotażu, przy czym należy zaznaczyć, że nie są to dodatkowe koszty wynikające z wprowadzenia pilotażu. Koszty pilotażu zamykają się we współczynnikach korygujących (stanowiące 18% całkowitej wartości rozliczonych świadczeń opieki zdrowotnej), tj. współczynnikach wprowadzonych jako narzędzie realizacji modelu płacenia za jakość opieki onkologicznej oraz jej monitorowania. Koszty współczynników korygujących kształtują się na</w:t>
      </w:r>
      <w:r>
        <w:rPr>
          <w:rFonts w:ascii="Arial" w:hAnsi="Arial" w:cs="Arial"/>
        </w:rPr>
        <w:t> </w:t>
      </w:r>
      <w:r w:rsidRPr="004C261C">
        <w:rPr>
          <w:rFonts w:ascii="Arial" w:hAnsi="Arial" w:cs="Arial"/>
        </w:rPr>
        <w:t>poziomie 29,59 mln zł i obejmują 35 ośrodków z czterech województwach, w których do</w:t>
      </w:r>
      <w:r>
        <w:rPr>
          <w:rFonts w:ascii="Arial" w:hAnsi="Arial" w:cs="Arial"/>
        </w:rPr>
        <w:t> </w:t>
      </w:r>
      <w:r w:rsidRPr="004C261C">
        <w:rPr>
          <w:rFonts w:ascii="Arial" w:hAnsi="Arial" w:cs="Arial"/>
        </w:rPr>
        <w:t xml:space="preserve">pilotażu włączono łącznie 14 815 pacjentów. </w:t>
      </w:r>
    </w:p>
    <w:p w14:paraId="2B9C98D6" w14:textId="77777777" w:rsidR="004F4D00" w:rsidRPr="004D0DC4" w:rsidRDefault="004F4D00" w:rsidP="004F4D00">
      <w:pPr>
        <w:shd w:val="clear" w:color="auto" w:fill="FFFFFF" w:themeFill="background1"/>
        <w:jc w:val="both"/>
        <w:rPr>
          <w:rFonts w:ascii="Arial" w:hAnsi="Arial" w:cs="Arial"/>
          <w:highlight w:val="yellow"/>
        </w:rPr>
      </w:pPr>
      <w:r w:rsidRPr="004D0DC4">
        <w:rPr>
          <w:rFonts w:ascii="Arial" w:hAnsi="Arial" w:cs="Arial"/>
        </w:rPr>
        <w:t xml:space="preserve">Sumaryczna wartość rozliczonych świadczeń opieki zdrowotnej, udzielonych pacjentom </w:t>
      </w:r>
      <w:r w:rsidRPr="004D0DC4">
        <w:rPr>
          <w:rFonts w:ascii="Arial" w:hAnsi="Arial" w:cs="Arial"/>
        </w:rPr>
        <w:br/>
        <w:t>objętym pilotażem, od początku jego trwania, wyniosła w poszczególnych województwach:</w:t>
      </w:r>
    </w:p>
    <w:p w14:paraId="31A01D11" w14:textId="77777777" w:rsidR="004F4D00" w:rsidRPr="00F37195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F37195">
        <w:rPr>
          <w:rFonts w:ascii="Arial" w:hAnsi="Arial" w:cs="Arial"/>
        </w:rPr>
        <w:t xml:space="preserve">dolnośląskim – </w:t>
      </w:r>
      <w:r w:rsidRPr="00F37195">
        <w:rPr>
          <w:rFonts w:ascii="Arial" w:hAnsi="Arial" w:cs="Arial"/>
          <w:b/>
          <w:bCs/>
          <w:color w:val="4472C4" w:themeColor="accent1"/>
        </w:rPr>
        <w:t xml:space="preserve">91 244 364,78 zł, </w:t>
      </w:r>
    </w:p>
    <w:p w14:paraId="6687DF0E" w14:textId="77777777" w:rsidR="004F4D00" w:rsidRPr="00F37195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F37195">
        <w:rPr>
          <w:rFonts w:ascii="Arial" w:hAnsi="Arial" w:cs="Arial"/>
        </w:rPr>
        <w:t xml:space="preserve">świętokrzyskim – </w:t>
      </w:r>
      <w:r w:rsidRPr="00F37195">
        <w:rPr>
          <w:rFonts w:ascii="Arial" w:hAnsi="Arial" w:cs="Arial"/>
          <w:b/>
          <w:bCs/>
          <w:color w:val="4472C4" w:themeColor="accent1"/>
        </w:rPr>
        <w:t xml:space="preserve">35 452 416,36 zł, </w:t>
      </w:r>
    </w:p>
    <w:p w14:paraId="0584F9AD" w14:textId="77777777" w:rsidR="004F4D00" w:rsidRPr="00F37195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F37195">
        <w:rPr>
          <w:rFonts w:ascii="Arial" w:hAnsi="Arial" w:cs="Arial"/>
        </w:rPr>
        <w:t xml:space="preserve">pomorskim – </w:t>
      </w:r>
      <w:r w:rsidRPr="00F37195">
        <w:rPr>
          <w:rFonts w:ascii="Arial" w:hAnsi="Arial" w:cs="Arial"/>
          <w:b/>
          <w:bCs/>
          <w:color w:val="4472C4" w:themeColor="accent1"/>
        </w:rPr>
        <w:t>18 760 483,94 (od 1 kwietnia 2020 r.)</w:t>
      </w:r>
      <w:r>
        <w:rPr>
          <w:rFonts w:ascii="Arial" w:hAnsi="Arial" w:cs="Arial"/>
          <w:b/>
          <w:bCs/>
          <w:color w:val="4472C4" w:themeColor="accent1"/>
        </w:rPr>
        <w:t>,</w:t>
      </w:r>
    </w:p>
    <w:p w14:paraId="596B104D" w14:textId="77777777" w:rsidR="004F4D00" w:rsidRPr="001B2F24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F37195">
        <w:rPr>
          <w:rFonts w:ascii="Arial" w:hAnsi="Arial" w:cs="Arial"/>
        </w:rPr>
        <w:t xml:space="preserve">podlaskim - </w:t>
      </w:r>
      <w:r w:rsidRPr="00F37195">
        <w:rPr>
          <w:rFonts w:ascii="Arial" w:hAnsi="Arial" w:cs="Arial"/>
          <w:b/>
          <w:bCs/>
          <w:color w:val="4472C4" w:themeColor="accent1"/>
        </w:rPr>
        <w:t xml:space="preserve">11 116 330,68 zł. </w:t>
      </w:r>
    </w:p>
    <w:p w14:paraId="7B5D4B7C" w14:textId="77777777" w:rsidR="004F4D00" w:rsidRDefault="004F4D00" w:rsidP="004F4D0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bCs/>
          <w:color w:val="4472C4" w:themeColor="accent1"/>
        </w:rPr>
      </w:pPr>
    </w:p>
    <w:p w14:paraId="4525DB5E" w14:textId="77777777" w:rsidR="004F4D00" w:rsidRPr="001B2F24" w:rsidRDefault="004F4D00" w:rsidP="004F4D00">
      <w:pPr>
        <w:shd w:val="clear" w:color="auto" w:fill="FFFFFF" w:themeFill="background1"/>
        <w:jc w:val="both"/>
        <w:rPr>
          <w:rFonts w:ascii="Arial" w:hAnsi="Arial" w:cs="Arial"/>
        </w:rPr>
      </w:pPr>
      <w:r w:rsidRPr="001B2F24">
        <w:rPr>
          <w:rFonts w:ascii="Arial" w:hAnsi="Arial" w:cs="Arial"/>
        </w:rPr>
        <w:t>W tym, wartość świadczeń wynikająca z zastosowania współczynników korygujących, o</w:t>
      </w:r>
      <w:r>
        <w:rPr>
          <w:rFonts w:ascii="Arial" w:hAnsi="Arial" w:cs="Arial"/>
        </w:rPr>
        <w:t> </w:t>
      </w:r>
      <w:r w:rsidRPr="001B2F24">
        <w:rPr>
          <w:rFonts w:ascii="Arial" w:hAnsi="Arial" w:cs="Arial"/>
        </w:rPr>
        <w:t>których mowa w §11 ust. 3 rozporządzenia, kształtowała się odpowiednio w województwie:</w:t>
      </w:r>
    </w:p>
    <w:p w14:paraId="585D80C9" w14:textId="77777777" w:rsidR="004F4D00" w:rsidRPr="001B2F24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1B2F24">
        <w:rPr>
          <w:rFonts w:ascii="Arial" w:hAnsi="Arial" w:cs="Arial"/>
        </w:rPr>
        <w:t xml:space="preserve">dolnośląskim – </w:t>
      </w:r>
      <w:r w:rsidRPr="001B2F24">
        <w:rPr>
          <w:rFonts w:ascii="Arial" w:hAnsi="Arial" w:cs="Arial"/>
          <w:b/>
          <w:bCs/>
          <w:color w:val="4472C4" w:themeColor="accent1"/>
        </w:rPr>
        <w:t xml:space="preserve">16 430 661,59 zł, </w:t>
      </w:r>
    </w:p>
    <w:p w14:paraId="16227E7B" w14:textId="77777777" w:rsidR="004F4D00" w:rsidRPr="001B2F24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1B2F24">
        <w:rPr>
          <w:rFonts w:ascii="Arial" w:hAnsi="Arial" w:cs="Arial"/>
        </w:rPr>
        <w:t xml:space="preserve">świętokrzyskim – </w:t>
      </w:r>
      <w:r w:rsidRPr="001B2F24">
        <w:rPr>
          <w:rFonts w:ascii="Arial" w:hAnsi="Arial" w:cs="Arial"/>
          <w:b/>
          <w:bCs/>
          <w:color w:val="4472C4" w:themeColor="accent1"/>
        </w:rPr>
        <w:t>7 113 844,04 zł,</w:t>
      </w:r>
      <w:r w:rsidRPr="001B2F24">
        <w:rPr>
          <w:rFonts w:ascii="Arial" w:hAnsi="Arial" w:cs="Arial"/>
          <w:color w:val="4472C4" w:themeColor="accent1"/>
        </w:rPr>
        <w:t xml:space="preserve"> </w:t>
      </w:r>
    </w:p>
    <w:p w14:paraId="445AF7E5" w14:textId="77777777" w:rsidR="004F4D00" w:rsidRPr="001B2F24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bCs/>
          <w:color w:val="4472C4" w:themeColor="accent1"/>
        </w:rPr>
      </w:pPr>
      <w:r w:rsidRPr="001B2F24">
        <w:rPr>
          <w:rFonts w:ascii="Arial" w:hAnsi="Arial" w:cs="Arial"/>
        </w:rPr>
        <w:t xml:space="preserve">pomorskim – </w:t>
      </w:r>
      <w:r w:rsidRPr="001B2F24">
        <w:rPr>
          <w:rFonts w:ascii="Arial" w:hAnsi="Arial" w:cs="Arial"/>
          <w:b/>
          <w:bCs/>
          <w:color w:val="4472C4" w:themeColor="accent1"/>
        </w:rPr>
        <w:t>3 976 311,26 (od 1 kwietnia 2020 r.)</w:t>
      </w:r>
      <w:r>
        <w:rPr>
          <w:rFonts w:ascii="Arial" w:hAnsi="Arial" w:cs="Arial"/>
          <w:b/>
          <w:bCs/>
          <w:color w:val="4472C4" w:themeColor="accent1"/>
        </w:rPr>
        <w:t>,</w:t>
      </w:r>
      <w:r w:rsidRPr="001B2F24">
        <w:rPr>
          <w:rFonts w:ascii="Arial" w:hAnsi="Arial" w:cs="Arial"/>
          <w:b/>
          <w:bCs/>
          <w:color w:val="4472C4" w:themeColor="accent1"/>
        </w:rPr>
        <w:t xml:space="preserve"> </w:t>
      </w:r>
    </w:p>
    <w:p w14:paraId="70E4E368" w14:textId="77777777" w:rsidR="004F4D00" w:rsidRPr="001B2F24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1B2F24">
        <w:rPr>
          <w:rFonts w:ascii="Arial" w:hAnsi="Arial" w:cs="Arial"/>
        </w:rPr>
        <w:t xml:space="preserve">podlaskim – </w:t>
      </w:r>
      <w:r w:rsidRPr="001B2F24">
        <w:rPr>
          <w:rFonts w:ascii="Arial" w:hAnsi="Arial" w:cs="Arial"/>
          <w:b/>
          <w:bCs/>
          <w:color w:val="4472C4" w:themeColor="accent1"/>
        </w:rPr>
        <w:t>2 066 362,30 zł.</w:t>
      </w:r>
    </w:p>
    <w:p w14:paraId="17F4F71B" w14:textId="77777777" w:rsidR="004F4D00" w:rsidRPr="00F37195" w:rsidRDefault="004F4D00" w:rsidP="004F4D00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14:paraId="2BB8970F" w14:textId="77777777" w:rsidR="004F4D00" w:rsidRPr="004C3202" w:rsidRDefault="004F4D00" w:rsidP="004F4D00">
      <w:pPr>
        <w:shd w:val="clear" w:color="auto" w:fill="FFFFFF" w:themeFill="background1"/>
        <w:jc w:val="both"/>
        <w:rPr>
          <w:rFonts w:ascii="Arial" w:hAnsi="Arial" w:cs="Arial"/>
        </w:rPr>
      </w:pPr>
      <w:r w:rsidRPr="004C3202">
        <w:rPr>
          <w:rFonts w:ascii="Arial" w:hAnsi="Arial" w:cs="Arial"/>
        </w:rPr>
        <w:t>Przeciętny dodatkowy dochód wynikający z udziału w pilotażu jednego pacjenta w</w:t>
      </w:r>
      <w:r>
        <w:rPr>
          <w:rFonts w:ascii="Arial" w:hAnsi="Arial" w:cs="Arial"/>
        </w:rPr>
        <w:t> </w:t>
      </w:r>
      <w:r w:rsidRPr="004C3202">
        <w:rPr>
          <w:rFonts w:ascii="Arial" w:hAnsi="Arial" w:cs="Arial"/>
        </w:rPr>
        <w:t>poszczególnych ośrodkach wynosi na terenie:</w:t>
      </w:r>
    </w:p>
    <w:p w14:paraId="6387E287" w14:textId="77777777" w:rsidR="004F4D00" w:rsidRPr="004C3202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4C3202">
        <w:rPr>
          <w:rFonts w:ascii="Arial" w:hAnsi="Arial" w:cs="Arial"/>
        </w:rPr>
        <w:t xml:space="preserve">dolnośląskiego – </w:t>
      </w:r>
      <w:r w:rsidRPr="004C3202">
        <w:rPr>
          <w:rFonts w:ascii="Arial" w:hAnsi="Arial" w:cs="Arial"/>
          <w:b/>
          <w:bCs/>
          <w:color w:val="4472C4" w:themeColor="accent1"/>
        </w:rPr>
        <w:t>3 065,11 zł,</w:t>
      </w:r>
      <w:r w:rsidRPr="004C3202">
        <w:rPr>
          <w:rFonts w:ascii="Arial" w:hAnsi="Arial" w:cs="Arial"/>
          <w:color w:val="4472C4" w:themeColor="accent1"/>
        </w:rPr>
        <w:t xml:space="preserve"> </w:t>
      </w:r>
    </w:p>
    <w:p w14:paraId="6F0A4B34" w14:textId="77777777" w:rsidR="004F4D00" w:rsidRPr="004C3202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4C3202">
        <w:rPr>
          <w:rFonts w:ascii="Arial" w:hAnsi="Arial" w:cs="Arial"/>
        </w:rPr>
        <w:lastRenderedPageBreak/>
        <w:t xml:space="preserve">świętokrzyskiego – </w:t>
      </w:r>
      <w:r w:rsidRPr="004C3202">
        <w:rPr>
          <w:rFonts w:ascii="Arial" w:hAnsi="Arial" w:cs="Arial"/>
          <w:b/>
          <w:bCs/>
          <w:color w:val="4472C4" w:themeColor="accent1"/>
        </w:rPr>
        <w:t>2 651,60 zł,</w:t>
      </w:r>
    </w:p>
    <w:p w14:paraId="78F3F4E3" w14:textId="77777777" w:rsidR="004F4D00" w:rsidRPr="004C3202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4C3202">
        <w:rPr>
          <w:rFonts w:ascii="Arial" w:hAnsi="Arial" w:cs="Arial"/>
        </w:rPr>
        <w:t xml:space="preserve">pomorskiego – </w:t>
      </w:r>
      <w:r w:rsidRPr="004C3202">
        <w:rPr>
          <w:rFonts w:ascii="Arial" w:hAnsi="Arial" w:cs="Arial"/>
          <w:b/>
          <w:bCs/>
          <w:color w:val="4472C4" w:themeColor="accent1"/>
        </w:rPr>
        <w:t>4 929,05 zł,</w:t>
      </w:r>
    </w:p>
    <w:p w14:paraId="420690FD" w14:textId="77777777" w:rsidR="004F4D00" w:rsidRPr="003C5AC1" w:rsidRDefault="004F4D00" w:rsidP="004F4D00">
      <w:pPr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4C3202">
        <w:rPr>
          <w:rFonts w:ascii="Arial" w:hAnsi="Arial" w:cs="Arial"/>
        </w:rPr>
        <w:t xml:space="preserve">podlaskiego – </w:t>
      </w:r>
      <w:r w:rsidRPr="004C3202">
        <w:rPr>
          <w:rFonts w:ascii="Arial" w:hAnsi="Arial" w:cs="Arial"/>
          <w:b/>
          <w:bCs/>
          <w:color w:val="4472C4" w:themeColor="accent1"/>
        </w:rPr>
        <w:t>1 947,52 zł .</w:t>
      </w:r>
    </w:p>
    <w:p w14:paraId="10F522BD" w14:textId="77777777" w:rsidR="004F4D00" w:rsidRPr="00937D44" w:rsidRDefault="004F4D00" w:rsidP="004F4D00">
      <w:pPr>
        <w:spacing w:before="24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Środki ze wskaźników korygujących zostały przeznaczone m. in. na:</w:t>
      </w:r>
    </w:p>
    <w:p w14:paraId="2742648F" w14:textId="77777777" w:rsidR="004F4D00" w:rsidRPr="00937D44" w:rsidRDefault="004F4D00" w:rsidP="004F4D00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wsparcie prawne przy wypracowaniu wzorów umów i ankiet oraz bieżąc</w:t>
      </w:r>
      <w:r>
        <w:rPr>
          <w:rFonts w:ascii="Arial" w:hAnsi="Arial" w:cs="Arial"/>
        </w:rPr>
        <w:t>ą</w:t>
      </w:r>
      <w:r w:rsidRPr="00937D44">
        <w:rPr>
          <w:rFonts w:ascii="Arial" w:hAnsi="Arial" w:cs="Arial"/>
        </w:rPr>
        <w:t xml:space="preserve"> obsług</w:t>
      </w:r>
      <w:r>
        <w:rPr>
          <w:rFonts w:ascii="Arial" w:hAnsi="Arial" w:cs="Arial"/>
        </w:rPr>
        <w:t>ę</w:t>
      </w:r>
      <w:r w:rsidRPr="00937D44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>ą</w:t>
      </w:r>
      <w:r w:rsidRPr="00937D44">
        <w:rPr>
          <w:rFonts w:ascii="Arial" w:hAnsi="Arial" w:cs="Arial"/>
        </w:rPr>
        <w:t xml:space="preserve"> w zakresie pilotażu,</w:t>
      </w:r>
    </w:p>
    <w:p w14:paraId="391888C2" w14:textId="77777777" w:rsidR="004F4D00" w:rsidRPr="00937D44" w:rsidRDefault="004F4D00" w:rsidP="004F4D00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zatrudnienie koordynatorów procesu leczenia, których podstawowym zadaniem jest współpraca z pacjentami oraz świadczeniodawcami,</w:t>
      </w:r>
    </w:p>
    <w:p w14:paraId="7D4346E6" w14:textId="77777777" w:rsidR="004F4D00" w:rsidRPr="00937D44" w:rsidRDefault="004F4D00" w:rsidP="004F4D00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wdrożenie infrastruktury informatycznej i telekomunikacyjnej, w tym koszty integracji z</w:t>
      </w:r>
      <w:r>
        <w:rPr>
          <w:rFonts w:ascii="Arial" w:hAnsi="Arial" w:cs="Arial"/>
        </w:rPr>
        <w:t> </w:t>
      </w:r>
      <w:r w:rsidRPr="00937D44">
        <w:rPr>
          <w:rFonts w:ascii="Arial" w:hAnsi="Arial" w:cs="Arial"/>
        </w:rPr>
        <w:t>systemami HIS oraz bieżąc</w:t>
      </w:r>
      <w:r>
        <w:rPr>
          <w:rFonts w:ascii="Arial" w:hAnsi="Arial" w:cs="Arial"/>
        </w:rPr>
        <w:t>ą</w:t>
      </w:r>
      <w:r w:rsidRPr="00937D44">
        <w:rPr>
          <w:rFonts w:ascii="Arial" w:hAnsi="Arial" w:cs="Arial"/>
        </w:rPr>
        <w:t xml:space="preserve"> obsług</w:t>
      </w:r>
      <w:r>
        <w:rPr>
          <w:rFonts w:ascii="Arial" w:hAnsi="Arial" w:cs="Arial"/>
        </w:rPr>
        <w:t>ę</w:t>
      </w:r>
      <w:r w:rsidRPr="00937D44">
        <w:rPr>
          <w:rFonts w:ascii="Arial" w:hAnsi="Arial" w:cs="Arial"/>
        </w:rPr>
        <w:t xml:space="preserve"> informatyczn</w:t>
      </w:r>
      <w:r>
        <w:rPr>
          <w:rFonts w:ascii="Arial" w:hAnsi="Arial" w:cs="Arial"/>
        </w:rPr>
        <w:t>ą</w:t>
      </w:r>
      <w:r w:rsidRPr="00937D44">
        <w:rPr>
          <w:rFonts w:ascii="Arial" w:hAnsi="Arial" w:cs="Arial"/>
        </w:rPr>
        <w:t xml:space="preserve"> wdrożonej infrastruktury,</w:t>
      </w:r>
    </w:p>
    <w:p w14:paraId="1903F040" w14:textId="77777777" w:rsidR="004F4D00" w:rsidRPr="00937D44" w:rsidRDefault="004F4D00" w:rsidP="004F4D00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zakup narzędzi wspierających procesy koordynacji, gromadzenia i przetwarzania danych oraz bieżąc</w:t>
      </w:r>
      <w:r>
        <w:rPr>
          <w:rFonts w:ascii="Arial" w:hAnsi="Arial" w:cs="Arial"/>
        </w:rPr>
        <w:t>ą</w:t>
      </w:r>
      <w:r w:rsidRPr="00937D44">
        <w:rPr>
          <w:rFonts w:ascii="Arial" w:hAnsi="Arial" w:cs="Arial"/>
        </w:rPr>
        <w:t xml:space="preserve"> analiz</w:t>
      </w:r>
      <w:r>
        <w:rPr>
          <w:rFonts w:ascii="Arial" w:hAnsi="Arial" w:cs="Arial"/>
        </w:rPr>
        <w:t>ę</w:t>
      </w:r>
      <w:r w:rsidRPr="00937D44">
        <w:rPr>
          <w:rFonts w:ascii="Arial" w:hAnsi="Arial" w:cs="Arial"/>
        </w:rPr>
        <w:t xml:space="preserve"> zgromadzonych danych</w:t>
      </w:r>
      <w:r>
        <w:rPr>
          <w:rFonts w:ascii="Arial" w:hAnsi="Arial" w:cs="Arial"/>
        </w:rPr>
        <w:t xml:space="preserve"> </w:t>
      </w:r>
      <w:r w:rsidRPr="00937D44">
        <w:rPr>
          <w:rFonts w:ascii="Arial" w:hAnsi="Arial" w:cs="Arial"/>
        </w:rPr>
        <w:t xml:space="preserve">- zapewnienie ośrodkom współpracującym I </w:t>
      </w:r>
      <w:proofErr w:type="spellStart"/>
      <w:r w:rsidRPr="00937D44">
        <w:rPr>
          <w:rFonts w:ascii="Arial" w:hAnsi="Arial" w:cs="Arial"/>
        </w:rPr>
        <w:t>i</w:t>
      </w:r>
      <w:proofErr w:type="spellEnd"/>
      <w:r w:rsidRPr="00937D44">
        <w:rPr>
          <w:rFonts w:ascii="Arial" w:hAnsi="Arial" w:cs="Arial"/>
        </w:rPr>
        <w:t xml:space="preserve"> II poziomu możliwości skorzystania z porad i konsultacji w</w:t>
      </w:r>
      <w:r>
        <w:rPr>
          <w:rFonts w:ascii="Arial" w:hAnsi="Arial" w:cs="Arial"/>
        </w:rPr>
        <w:t> </w:t>
      </w:r>
      <w:r w:rsidRPr="00937D44">
        <w:rPr>
          <w:rFonts w:ascii="Arial" w:hAnsi="Arial" w:cs="Arial"/>
        </w:rPr>
        <w:t>przypadkach trudnych klinicznie, w tym z wykorzystaniem systemów teleinformatycznych, środków komunikacji elektronicznej lub publicznie dostępnych usług telekomunikacyjnych,</w:t>
      </w:r>
    </w:p>
    <w:p w14:paraId="4724831E" w14:textId="77777777" w:rsidR="004F4D00" w:rsidRPr="00937D44" w:rsidRDefault="004F4D00" w:rsidP="004F4D00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zatrudnienie dodatkowych pracowników infolinii onkologicznej,</w:t>
      </w:r>
    </w:p>
    <w:p w14:paraId="5EC6F4C2" w14:textId="77777777" w:rsidR="004F4D00" w:rsidRPr="00937D44" w:rsidRDefault="004F4D00" w:rsidP="004F4D00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zaprojektowanie ulotki infolinii onkologicznej, druk ulotek oraz wysyłk</w:t>
      </w:r>
      <w:r>
        <w:rPr>
          <w:rFonts w:ascii="Arial" w:hAnsi="Arial" w:cs="Arial"/>
        </w:rPr>
        <w:t>ę</w:t>
      </w:r>
      <w:r w:rsidRPr="00937D44">
        <w:rPr>
          <w:rFonts w:ascii="Arial" w:hAnsi="Arial" w:cs="Arial"/>
        </w:rPr>
        <w:t xml:space="preserve"> do POZ,</w:t>
      </w:r>
    </w:p>
    <w:p w14:paraId="11A88EAC" w14:textId="77777777" w:rsidR="004F4D00" w:rsidRPr="00937D44" w:rsidRDefault="004F4D00" w:rsidP="004F4D00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przygotowanie i opracowanie rekomendacji "Zarządzanie jakością w szpitalu onkologicznym- kontekst procesów i mierników",</w:t>
      </w:r>
    </w:p>
    <w:p w14:paraId="0A7607F2" w14:textId="77777777" w:rsidR="004F4D00" w:rsidRPr="00937D44" w:rsidRDefault="004F4D00" w:rsidP="004F4D00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organizacj</w:t>
      </w:r>
      <w:r>
        <w:rPr>
          <w:rFonts w:ascii="Arial" w:hAnsi="Arial" w:cs="Arial"/>
        </w:rPr>
        <w:t>ę</w:t>
      </w:r>
      <w:r w:rsidRPr="00937D44">
        <w:rPr>
          <w:rFonts w:ascii="Arial" w:hAnsi="Arial" w:cs="Arial"/>
        </w:rPr>
        <w:t xml:space="preserve"> wielodyscyplinarnych zespołów terapeutycznych i ustalanie planu leczenia onkologicznego w uzgodnieniu ze świadczeniobiorcą,  współprac</w:t>
      </w:r>
      <w:r>
        <w:rPr>
          <w:rFonts w:ascii="Arial" w:hAnsi="Arial" w:cs="Arial"/>
        </w:rPr>
        <w:t>ę</w:t>
      </w:r>
      <w:r w:rsidRPr="00937D44">
        <w:rPr>
          <w:rFonts w:ascii="Arial" w:hAnsi="Arial" w:cs="Arial"/>
        </w:rPr>
        <w:t xml:space="preserve"> również w tym zakresie ze szpitalami I </w:t>
      </w:r>
      <w:proofErr w:type="spellStart"/>
      <w:r w:rsidRPr="00937D44">
        <w:rPr>
          <w:rFonts w:ascii="Arial" w:hAnsi="Arial" w:cs="Arial"/>
        </w:rPr>
        <w:t>i</w:t>
      </w:r>
      <w:proofErr w:type="spellEnd"/>
      <w:r w:rsidRPr="00937D44">
        <w:rPr>
          <w:rFonts w:ascii="Arial" w:hAnsi="Arial" w:cs="Arial"/>
        </w:rPr>
        <w:t xml:space="preserve"> II poziomu</w:t>
      </w:r>
      <w:r>
        <w:rPr>
          <w:rFonts w:ascii="Arial" w:hAnsi="Arial" w:cs="Arial"/>
        </w:rPr>
        <w:t>.</w:t>
      </w:r>
    </w:p>
    <w:p w14:paraId="6D1B8FE0" w14:textId="77777777" w:rsidR="004F4D00" w:rsidRDefault="004F4D00" w:rsidP="004F4D00">
      <w:pPr>
        <w:spacing w:before="24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 xml:space="preserve">Kluczowe, kosztochłonne działania: </w:t>
      </w:r>
    </w:p>
    <w:p w14:paraId="556B70B8" w14:textId="77777777" w:rsidR="004F4D00" w:rsidRPr="005F2C8C" w:rsidRDefault="004F4D00" w:rsidP="004F4D00">
      <w:pPr>
        <w:pStyle w:val="Akapitzlist"/>
        <w:numPr>
          <w:ilvl w:val="0"/>
          <w:numId w:val="43"/>
        </w:numPr>
        <w:spacing w:before="240" w:after="0"/>
        <w:jc w:val="both"/>
        <w:rPr>
          <w:rFonts w:ascii="Arial" w:hAnsi="Arial" w:cs="Arial"/>
        </w:rPr>
      </w:pPr>
      <w:r w:rsidRPr="005F2C8C">
        <w:rPr>
          <w:rFonts w:ascii="Arial" w:hAnsi="Arial" w:cs="Arial"/>
        </w:rPr>
        <w:t>opracowanie, przygotowanie oraz wdrożenie dedykowanych szablonów dokumentacji medycznej</w:t>
      </w:r>
      <w:r>
        <w:rPr>
          <w:rFonts w:ascii="Arial" w:hAnsi="Arial" w:cs="Arial"/>
        </w:rPr>
        <w:t>,</w:t>
      </w:r>
    </w:p>
    <w:p w14:paraId="15D035DD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opracowanie, przygotowanie oraz wdrożenie dedykowanych szablonów dokumentacji sprawozdawczej</w:t>
      </w:r>
      <w:r>
        <w:rPr>
          <w:rFonts w:ascii="Arial" w:hAnsi="Arial" w:cs="Arial"/>
        </w:rPr>
        <w:t>,</w:t>
      </w:r>
    </w:p>
    <w:p w14:paraId="6FAF0BCA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przygotowanie procedur określających cały proces/ścieżki kompleksowego leczenia paliatywnego - takie działanie poprawia efektywność wykorzystania nowoczesnych metod leczenia (np. RT stereotaktycznej, zabiegów operacyjnych z wykorzystaniem jednoczasowej chemioterapii)</w:t>
      </w:r>
      <w:r>
        <w:rPr>
          <w:rFonts w:ascii="Arial" w:hAnsi="Arial" w:cs="Arial"/>
        </w:rPr>
        <w:t>,</w:t>
      </w:r>
    </w:p>
    <w:p w14:paraId="2964408A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prowadzenie ustrukturyzowanych komisji pooperacyjnych</w:t>
      </w:r>
      <w:r>
        <w:rPr>
          <w:rFonts w:ascii="Arial" w:hAnsi="Arial" w:cs="Arial"/>
        </w:rPr>
        <w:t>,</w:t>
      </w:r>
    </w:p>
    <w:p w14:paraId="060CC73A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prowadzenie jednolitych wykazów, np. badań klinicznych</w:t>
      </w:r>
      <w:r>
        <w:rPr>
          <w:rFonts w:ascii="Arial" w:hAnsi="Arial" w:cs="Arial"/>
        </w:rPr>
        <w:t>,</w:t>
      </w:r>
    </w:p>
    <w:p w14:paraId="3343AE6C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współpraca z ośrodkami zewnętrznymi</w:t>
      </w:r>
      <w:r>
        <w:rPr>
          <w:rFonts w:ascii="Arial" w:hAnsi="Arial" w:cs="Arial"/>
        </w:rPr>
        <w:t>,</w:t>
      </w:r>
    </w:p>
    <w:p w14:paraId="46874179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wypracowanie ścieżek wsparcia socjalnego</w:t>
      </w:r>
      <w:r>
        <w:rPr>
          <w:rFonts w:ascii="Arial" w:hAnsi="Arial" w:cs="Arial"/>
        </w:rPr>
        <w:t>,</w:t>
      </w:r>
    </w:p>
    <w:p w14:paraId="4DE7896F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zdefiniowanie i zorganizowanie SOP</w:t>
      </w:r>
      <w:r>
        <w:rPr>
          <w:rFonts w:ascii="Arial" w:hAnsi="Arial" w:cs="Arial"/>
        </w:rPr>
        <w:t>,</w:t>
      </w:r>
    </w:p>
    <w:p w14:paraId="4690564B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prowadzenie systematycznego wsparcia psychologicznego</w:t>
      </w:r>
      <w:r>
        <w:rPr>
          <w:rFonts w:ascii="Arial" w:hAnsi="Arial" w:cs="Arial"/>
        </w:rPr>
        <w:t>,</w:t>
      </w:r>
    </w:p>
    <w:p w14:paraId="2A4B5576" w14:textId="77777777" w:rsidR="004F4D00" w:rsidRPr="00937D44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stała współpraca z lekarzami rodzinnymi, z uwzględnieniem wypracowania jednolitych ścieżek przepływu pacjenta</w:t>
      </w:r>
      <w:r>
        <w:rPr>
          <w:rFonts w:ascii="Arial" w:hAnsi="Arial" w:cs="Arial"/>
        </w:rPr>
        <w:t>,</w:t>
      </w:r>
    </w:p>
    <w:p w14:paraId="271A5E05" w14:textId="498A2DBF" w:rsidR="004F4D00" w:rsidRPr="005F2C8C" w:rsidRDefault="004F4D00" w:rsidP="004F4D00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937D44">
        <w:rPr>
          <w:rFonts w:ascii="Arial" w:hAnsi="Arial" w:cs="Arial"/>
        </w:rPr>
        <w:t>organizacja konsyliów z wykorzystaniem sprzętu IT (tory wizyjne, zdalne konsultacje z radiologiem)</w:t>
      </w:r>
      <w:r>
        <w:rPr>
          <w:rFonts w:ascii="Arial" w:hAnsi="Arial" w:cs="Arial"/>
        </w:rPr>
        <w:t>.</w:t>
      </w:r>
    </w:p>
    <w:p w14:paraId="717A1154" w14:textId="77777777" w:rsidR="004F4D00" w:rsidRPr="00826FDB" w:rsidRDefault="004F4D00" w:rsidP="00826FDB">
      <w:pPr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4F4D00" w:rsidRPr="00826FDB" w:rsidSect="004F4D0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AA5C" w14:textId="77777777" w:rsidR="00B672D8" w:rsidRDefault="00B672D8" w:rsidP="007B042D">
      <w:pPr>
        <w:spacing w:after="0" w:line="240" w:lineRule="auto"/>
      </w:pPr>
      <w:r>
        <w:separator/>
      </w:r>
    </w:p>
  </w:endnote>
  <w:endnote w:type="continuationSeparator" w:id="0">
    <w:p w14:paraId="545C3918" w14:textId="77777777" w:rsidR="00B672D8" w:rsidRDefault="00B672D8" w:rsidP="007B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762415"/>
      <w:docPartObj>
        <w:docPartGallery w:val="Page Numbers (Bottom of Page)"/>
        <w:docPartUnique/>
      </w:docPartObj>
    </w:sdtPr>
    <w:sdtEndPr/>
    <w:sdtContent>
      <w:p w14:paraId="1906D710" w14:textId="4E253B14" w:rsidR="004006A5" w:rsidRDefault="004006A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8CF38D" w14:textId="77777777" w:rsidR="004006A5" w:rsidRDefault="00400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B69C" w14:textId="77777777" w:rsidR="00B672D8" w:rsidRDefault="00B672D8" w:rsidP="007B042D">
      <w:pPr>
        <w:spacing w:after="0" w:line="240" w:lineRule="auto"/>
      </w:pPr>
      <w:r>
        <w:separator/>
      </w:r>
    </w:p>
  </w:footnote>
  <w:footnote w:type="continuationSeparator" w:id="0">
    <w:p w14:paraId="262DFF53" w14:textId="77777777" w:rsidR="00B672D8" w:rsidRDefault="00B672D8" w:rsidP="007B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17B"/>
    <w:multiLevelType w:val="hybridMultilevel"/>
    <w:tmpl w:val="F77C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5A6"/>
    <w:multiLevelType w:val="hybridMultilevel"/>
    <w:tmpl w:val="D0E43B86"/>
    <w:lvl w:ilvl="0" w:tplc="E63E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C4A5F"/>
    <w:multiLevelType w:val="hybridMultilevel"/>
    <w:tmpl w:val="C1126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A5200"/>
    <w:multiLevelType w:val="hybridMultilevel"/>
    <w:tmpl w:val="1E283DFE"/>
    <w:lvl w:ilvl="0" w:tplc="305485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2972"/>
    <w:multiLevelType w:val="hybridMultilevel"/>
    <w:tmpl w:val="8280EC6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0D44950"/>
    <w:multiLevelType w:val="hybridMultilevel"/>
    <w:tmpl w:val="4598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452A"/>
    <w:multiLevelType w:val="hybridMultilevel"/>
    <w:tmpl w:val="3D52C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61E5"/>
    <w:multiLevelType w:val="hybridMultilevel"/>
    <w:tmpl w:val="AB4C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0B0F"/>
    <w:multiLevelType w:val="hybridMultilevel"/>
    <w:tmpl w:val="064AC2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D15311"/>
    <w:multiLevelType w:val="hybridMultilevel"/>
    <w:tmpl w:val="F7EA7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2071"/>
    <w:multiLevelType w:val="hybridMultilevel"/>
    <w:tmpl w:val="6C9A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7654F"/>
    <w:multiLevelType w:val="hybridMultilevel"/>
    <w:tmpl w:val="CBE0FA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A4841"/>
    <w:multiLevelType w:val="hybridMultilevel"/>
    <w:tmpl w:val="59D25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21E3A"/>
    <w:multiLevelType w:val="hybridMultilevel"/>
    <w:tmpl w:val="88245378"/>
    <w:lvl w:ilvl="0" w:tplc="1C0428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268"/>
    <w:multiLevelType w:val="hybridMultilevel"/>
    <w:tmpl w:val="BD18D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31839"/>
    <w:multiLevelType w:val="hybridMultilevel"/>
    <w:tmpl w:val="0646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2434"/>
    <w:multiLevelType w:val="hybridMultilevel"/>
    <w:tmpl w:val="159A3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B1CF5"/>
    <w:multiLevelType w:val="hybridMultilevel"/>
    <w:tmpl w:val="1932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7FA7"/>
    <w:multiLevelType w:val="hybridMultilevel"/>
    <w:tmpl w:val="D95A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1047A"/>
    <w:multiLevelType w:val="hybridMultilevel"/>
    <w:tmpl w:val="6BB0E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76C7"/>
    <w:multiLevelType w:val="hybridMultilevel"/>
    <w:tmpl w:val="E2C41C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165C40"/>
    <w:multiLevelType w:val="multilevel"/>
    <w:tmpl w:val="96FE3B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4D1F6F"/>
    <w:multiLevelType w:val="hybridMultilevel"/>
    <w:tmpl w:val="19BE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04DED"/>
    <w:multiLevelType w:val="hybridMultilevel"/>
    <w:tmpl w:val="C950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B51B7"/>
    <w:multiLevelType w:val="hybridMultilevel"/>
    <w:tmpl w:val="3C9C8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887262"/>
    <w:multiLevelType w:val="hybridMultilevel"/>
    <w:tmpl w:val="EDFE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36E7B"/>
    <w:multiLevelType w:val="hybridMultilevel"/>
    <w:tmpl w:val="CB98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77541"/>
    <w:multiLevelType w:val="hybridMultilevel"/>
    <w:tmpl w:val="3BAA3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73E12"/>
    <w:multiLevelType w:val="hybridMultilevel"/>
    <w:tmpl w:val="0B226E96"/>
    <w:lvl w:ilvl="0" w:tplc="1C0428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47A67"/>
    <w:multiLevelType w:val="hybridMultilevel"/>
    <w:tmpl w:val="4B94D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37540"/>
    <w:multiLevelType w:val="hybridMultilevel"/>
    <w:tmpl w:val="3D961EFE"/>
    <w:lvl w:ilvl="0" w:tplc="4B6CDFA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95507"/>
    <w:multiLevelType w:val="hybridMultilevel"/>
    <w:tmpl w:val="835C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B52FC"/>
    <w:multiLevelType w:val="hybridMultilevel"/>
    <w:tmpl w:val="B25AB452"/>
    <w:lvl w:ilvl="0" w:tplc="1C0428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369EAB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D7A9F"/>
    <w:multiLevelType w:val="hybridMultilevel"/>
    <w:tmpl w:val="8DD4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91BC9"/>
    <w:multiLevelType w:val="hybridMultilevel"/>
    <w:tmpl w:val="411C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90D7B"/>
    <w:multiLevelType w:val="hybridMultilevel"/>
    <w:tmpl w:val="D1320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D3F9F"/>
    <w:multiLevelType w:val="hybridMultilevel"/>
    <w:tmpl w:val="56B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C5D8A"/>
    <w:multiLevelType w:val="hybridMultilevel"/>
    <w:tmpl w:val="6D98D772"/>
    <w:lvl w:ilvl="0" w:tplc="1C0428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B71FD"/>
    <w:multiLevelType w:val="hybridMultilevel"/>
    <w:tmpl w:val="8196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3326A"/>
    <w:multiLevelType w:val="hybridMultilevel"/>
    <w:tmpl w:val="8F705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6688"/>
    <w:multiLevelType w:val="multilevel"/>
    <w:tmpl w:val="EEF0256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9B27AF0"/>
    <w:multiLevelType w:val="hybridMultilevel"/>
    <w:tmpl w:val="6CB8365E"/>
    <w:lvl w:ilvl="0" w:tplc="190E7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55220"/>
    <w:multiLevelType w:val="hybridMultilevel"/>
    <w:tmpl w:val="A3B83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2DE4"/>
    <w:multiLevelType w:val="hybridMultilevel"/>
    <w:tmpl w:val="FC4EDE28"/>
    <w:lvl w:ilvl="0" w:tplc="8352827A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25"/>
  </w:num>
  <w:num w:numId="5">
    <w:abstractNumId w:val="15"/>
  </w:num>
  <w:num w:numId="6">
    <w:abstractNumId w:val="33"/>
  </w:num>
  <w:num w:numId="7">
    <w:abstractNumId w:val="2"/>
  </w:num>
  <w:num w:numId="8">
    <w:abstractNumId w:val="31"/>
  </w:num>
  <w:num w:numId="9">
    <w:abstractNumId w:val="29"/>
  </w:num>
  <w:num w:numId="10">
    <w:abstractNumId w:val="14"/>
  </w:num>
  <w:num w:numId="11">
    <w:abstractNumId w:val="32"/>
  </w:num>
  <w:num w:numId="12">
    <w:abstractNumId w:val="22"/>
  </w:num>
  <w:num w:numId="13">
    <w:abstractNumId w:val="43"/>
  </w:num>
  <w:num w:numId="14">
    <w:abstractNumId w:val="37"/>
  </w:num>
  <w:num w:numId="15">
    <w:abstractNumId w:val="28"/>
  </w:num>
  <w:num w:numId="16">
    <w:abstractNumId w:val="13"/>
  </w:num>
  <w:num w:numId="17">
    <w:abstractNumId w:val="18"/>
  </w:num>
  <w:num w:numId="18">
    <w:abstractNumId w:val="21"/>
  </w:num>
  <w:num w:numId="19">
    <w:abstractNumId w:val="35"/>
  </w:num>
  <w:num w:numId="20">
    <w:abstractNumId w:val="39"/>
  </w:num>
  <w:num w:numId="21">
    <w:abstractNumId w:val="26"/>
  </w:num>
  <w:num w:numId="22">
    <w:abstractNumId w:val="16"/>
  </w:num>
  <w:num w:numId="23">
    <w:abstractNumId w:val="42"/>
  </w:num>
  <w:num w:numId="24">
    <w:abstractNumId w:val="24"/>
  </w:num>
  <w:num w:numId="25">
    <w:abstractNumId w:val="30"/>
  </w:num>
  <w:num w:numId="26">
    <w:abstractNumId w:val="6"/>
  </w:num>
  <w:num w:numId="27">
    <w:abstractNumId w:val="27"/>
  </w:num>
  <w:num w:numId="28">
    <w:abstractNumId w:val="0"/>
  </w:num>
  <w:num w:numId="29">
    <w:abstractNumId w:val="1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"/>
  </w:num>
  <w:num w:numId="33">
    <w:abstractNumId w:val="36"/>
  </w:num>
  <w:num w:numId="34">
    <w:abstractNumId w:val="3"/>
  </w:num>
  <w:num w:numId="35">
    <w:abstractNumId w:val="41"/>
  </w:num>
  <w:num w:numId="36">
    <w:abstractNumId w:val="1"/>
  </w:num>
  <w:num w:numId="37">
    <w:abstractNumId w:val="12"/>
  </w:num>
  <w:num w:numId="38">
    <w:abstractNumId w:val="20"/>
  </w:num>
  <w:num w:numId="39">
    <w:abstractNumId w:val="19"/>
  </w:num>
  <w:num w:numId="40">
    <w:abstractNumId w:val="5"/>
  </w:num>
  <w:num w:numId="41">
    <w:abstractNumId w:val="34"/>
  </w:num>
  <w:num w:numId="42">
    <w:abstractNumId w:val="38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49"/>
    <w:rsid w:val="00007688"/>
    <w:rsid w:val="0001480B"/>
    <w:rsid w:val="00014F68"/>
    <w:rsid w:val="000206AD"/>
    <w:rsid w:val="00022459"/>
    <w:rsid w:val="00027342"/>
    <w:rsid w:val="0003459F"/>
    <w:rsid w:val="000414BF"/>
    <w:rsid w:val="0004295E"/>
    <w:rsid w:val="000502E1"/>
    <w:rsid w:val="00055C1B"/>
    <w:rsid w:val="000560FE"/>
    <w:rsid w:val="00064FFB"/>
    <w:rsid w:val="00080528"/>
    <w:rsid w:val="00085181"/>
    <w:rsid w:val="00096998"/>
    <w:rsid w:val="000B010B"/>
    <w:rsid w:val="000C5918"/>
    <w:rsid w:val="000D5537"/>
    <w:rsid w:val="000E1633"/>
    <w:rsid w:val="000F3252"/>
    <w:rsid w:val="000F3FD6"/>
    <w:rsid w:val="00120E04"/>
    <w:rsid w:val="00127E94"/>
    <w:rsid w:val="00137F8A"/>
    <w:rsid w:val="001510B2"/>
    <w:rsid w:val="001615A5"/>
    <w:rsid w:val="001633A9"/>
    <w:rsid w:val="0017376A"/>
    <w:rsid w:val="001830FF"/>
    <w:rsid w:val="001832D3"/>
    <w:rsid w:val="001A047E"/>
    <w:rsid w:val="001B2F24"/>
    <w:rsid w:val="001B3D6D"/>
    <w:rsid w:val="001E3FD1"/>
    <w:rsid w:val="00207FD5"/>
    <w:rsid w:val="00213A0C"/>
    <w:rsid w:val="00220F2E"/>
    <w:rsid w:val="00222187"/>
    <w:rsid w:val="0022227A"/>
    <w:rsid w:val="00222E3F"/>
    <w:rsid w:val="0023587F"/>
    <w:rsid w:val="00241CA5"/>
    <w:rsid w:val="00244CF1"/>
    <w:rsid w:val="002509E8"/>
    <w:rsid w:val="00252F8D"/>
    <w:rsid w:val="00261499"/>
    <w:rsid w:val="00274A87"/>
    <w:rsid w:val="00274F33"/>
    <w:rsid w:val="00275AAE"/>
    <w:rsid w:val="00287762"/>
    <w:rsid w:val="002A59B1"/>
    <w:rsid w:val="002B0986"/>
    <w:rsid w:val="002B7909"/>
    <w:rsid w:val="002D35AC"/>
    <w:rsid w:val="002E753A"/>
    <w:rsid w:val="002F39E5"/>
    <w:rsid w:val="002F43A3"/>
    <w:rsid w:val="002F555B"/>
    <w:rsid w:val="003023C4"/>
    <w:rsid w:val="00304C1D"/>
    <w:rsid w:val="00322467"/>
    <w:rsid w:val="0032798B"/>
    <w:rsid w:val="00340BB1"/>
    <w:rsid w:val="00340E6B"/>
    <w:rsid w:val="003440E6"/>
    <w:rsid w:val="00364403"/>
    <w:rsid w:val="003971B5"/>
    <w:rsid w:val="003B22B7"/>
    <w:rsid w:val="003B490B"/>
    <w:rsid w:val="003B6812"/>
    <w:rsid w:val="003C5AC1"/>
    <w:rsid w:val="003F264E"/>
    <w:rsid w:val="004006A5"/>
    <w:rsid w:val="00411830"/>
    <w:rsid w:val="00414C4E"/>
    <w:rsid w:val="004229A9"/>
    <w:rsid w:val="00434B41"/>
    <w:rsid w:val="004411CD"/>
    <w:rsid w:val="00442287"/>
    <w:rsid w:val="0045293C"/>
    <w:rsid w:val="00457AD6"/>
    <w:rsid w:val="00460C15"/>
    <w:rsid w:val="004764EF"/>
    <w:rsid w:val="00490B1F"/>
    <w:rsid w:val="004C261C"/>
    <w:rsid w:val="004C3202"/>
    <w:rsid w:val="004D05A7"/>
    <w:rsid w:val="004D0DC4"/>
    <w:rsid w:val="004D688A"/>
    <w:rsid w:val="004E3F33"/>
    <w:rsid w:val="004E7E6D"/>
    <w:rsid w:val="004F1EF6"/>
    <w:rsid w:val="004F4AB8"/>
    <w:rsid w:val="004F4D00"/>
    <w:rsid w:val="00504C6E"/>
    <w:rsid w:val="005119EE"/>
    <w:rsid w:val="00521412"/>
    <w:rsid w:val="00527D93"/>
    <w:rsid w:val="00537826"/>
    <w:rsid w:val="00541EFA"/>
    <w:rsid w:val="00556D90"/>
    <w:rsid w:val="00556DDE"/>
    <w:rsid w:val="00586EBF"/>
    <w:rsid w:val="005A0211"/>
    <w:rsid w:val="005A6679"/>
    <w:rsid w:val="005D1FFD"/>
    <w:rsid w:val="005D455C"/>
    <w:rsid w:val="005D5AF9"/>
    <w:rsid w:val="005E197C"/>
    <w:rsid w:val="005E1D17"/>
    <w:rsid w:val="005F2C8C"/>
    <w:rsid w:val="00636325"/>
    <w:rsid w:val="00657871"/>
    <w:rsid w:val="00671CAB"/>
    <w:rsid w:val="00685052"/>
    <w:rsid w:val="006A089A"/>
    <w:rsid w:val="006A1B07"/>
    <w:rsid w:val="006C7278"/>
    <w:rsid w:val="006C7CC6"/>
    <w:rsid w:val="006D03C4"/>
    <w:rsid w:val="00701FEE"/>
    <w:rsid w:val="007027C7"/>
    <w:rsid w:val="007033C8"/>
    <w:rsid w:val="007144AA"/>
    <w:rsid w:val="00721B30"/>
    <w:rsid w:val="00721C49"/>
    <w:rsid w:val="00751B70"/>
    <w:rsid w:val="007578A6"/>
    <w:rsid w:val="00765252"/>
    <w:rsid w:val="00773BC8"/>
    <w:rsid w:val="00773F58"/>
    <w:rsid w:val="007969AF"/>
    <w:rsid w:val="007B042D"/>
    <w:rsid w:val="007C7D75"/>
    <w:rsid w:val="007E2E0F"/>
    <w:rsid w:val="007F4FB7"/>
    <w:rsid w:val="00800B02"/>
    <w:rsid w:val="00807D06"/>
    <w:rsid w:val="008168FE"/>
    <w:rsid w:val="00826FDB"/>
    <w:rsid w:val="0083099A"/>
    <w:rsid w:val="0083479F"/>
    <w:rsid w:val="0084190A"/>
    <w:rsid w:val="00846107"/>
    <w:rsid w:val="00846E30"/>
    <w:rsid w:val="008514A2"/>
    <w:rsid w:val="008628A0"/>
    <w:rsid w:val="00865259"/>
    <w:rsid w:val="008652B1"/>
    <w:rsid w:val="00875802"/>
    <w:rsid w:val="00880F16"/>
    <w:rsid w:val="008821DF"/>
    <w:rsid w:val="00897BA5"/>
    <w:rsid w:val="008B3CFF"/>
    <w:rsid w:val="008B3D4A"/>
    <w:rsid w:val="008F3FF5"/>
    <w:rsid w:val="009079D7"/>
    <w:rsid w:val="0091698E"/>
    <w:rsid w:val="00924163"/>
    <w:rsid w:val="00925BA4"/>
    <w:rsid w:val="00927B8E"/>
    <w:rsid w:val="00937D44"/>
    <w:rsid w:val="009469E5"/>
    <w:rsid w:val="00952EA8"/>
    <w:rsid w:val="00956129"/>
    <w:rsid w:val="00957EEB"/>
    <w:rsid w:val="0098504E"/>
    <w:rsid w:val="009A27B8"/>
    <w:rsid w:val="009B1C77"/>
    <w:rsid w:val="009E4D83"/>
    <w:rsid w:val="009E77F2"/>
    <w:rsid w:val="009F2A5A"/>
    <w:rsid w:val="00A1003D"/>
    <w:rsid w:val="00A250E4"/>
    <w:rsid w:val="00A524AF"/>
    <w:rsid w:val="00A56278"/>
    <w:rsid w:val="00A7060D"/>
    <w:rsid w:val="00A803C9"/>
    <w:rsid w:val="00AA4EDD"/>
    <w:rsid w:val="00AA6CCC"/>
    <w:rsid w:val="00AC47E0"/>
    <w:rsid w:val="00AD6B52"/>
    <w:rsid w:val="00B06BAB"/>
    <w:rsid w:val="00B06DC5"/>
    <w:rsid w:val="00B25132"/>
    <w:rsid w:val="00B3178A"/>
    <w:rsid w:val="00B43257"/>
    <w:rsid w:val="00B454E2"/>
    <w:rsid w:val="00B672D8"/>
    <w:rsid w:val="00B94D52"/>
    <w:rsid w:val="00BA0088"/>
    <w:rsid w:val="00BD0EDC"/>
    <w:rsid w:val="00BD1F3F"/>
    <w:rsid w:val="00BD785E"/>
    <w:rsid w:val="00BE46B7"/>
    <w:rsid w:val="00BF13D1"/>
    <w:rsid w:val="00BF2786"/>
    <w:rsid w:val="00C073D4"/>
    <w:rsid w:val="00C07444"/>
    <w:rsid w:val="00C133DF"/>
    <w:rsid w:val="00C5336B"/>
    <w:rsid w:val="00C63B9C"/>
    <w:rsid w:val="00C7229A"/>
    <w:rsid w:val="00C865A6"/>
    <w:rsid w:val="00C97618"/>
    <w:rsid w:val="00CA32D6"/>
    <w:rsid w:val="00CC172A"/>
    <w:rsid w:val="00CC3981"/>
    <w:rsid w:val="00CC70B3"/>
    <w:rsid w:val="00CC7FC3"/>
    <w:rsid w:val="00CD4876"/>
    <w:rsid w:val="00CE345E"/>
    <w:rsid w:val="00D040AA"/>
    <w:rsid w:val="00D04C2B"/>
    <w:rsid w:val="00D362F2"/>
    <w:rsid w:val="00D413AB"/>
    <w:rsid w:val="00D41BB8"/>
    <w:rsid w:val="00D439B4"/>
    <w:rsid w:val="00D800B1"/>
    <w:rsid w:val="00D92DA4"/>
    <w:rsid w:val="00DB107D"/>
    <w:rsid w:val="00DC7617"/>
    <w:rsid w:val="00DE049D"/>
    <w:rsid w:val="00DE4FF3"/>
    <w:rsid w:val="00DF4DAF"/>
    <w:rsid w:val="00E17753"/>
    <w:rsid w:val="00E47654"/>
    <w:rsid w:val="00E6014E"/>
    <w:rsid w:val="00E64630"/>
    <w:rsid w:val="00E842DB"/>
    <w:rsid w:val="00E909F9"/>
    <w:rsid w:val="00E92A97"/>
    <w:rsid w:val="00EA7089"/>
    <w:rsid w:val="00EB4F16"/>
    <w:rsid w:val="00EB6583"/>
    <w:rsid w:val="00EC5A88"/>
    <w:rsid w:val="00EC6FFE"/>
    <w:rsid w:val="00EF0D9F"/>
    <w:rsid w:val="00F00ADB"/>
    <w:rsid w:val="00F057E3"/>
    <w:rsid w:val="00F30A2E"/>
    <w:rsid w:val="00F37195"/>
    <w:rsid w:val="00F43F1F"/>
    <w:rsid w:val="00F80342"/>
    <w:rsid w:val="00F954E3"/>
    <w:rsid w:val="00FC2385"/>
    <w:rsid w:val="00FC3115"/>
    <w:rsid w:val="00FD4409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3770"/>
  <w15:chartTrackingRefBased/>
  <w15:docId w15:val="{473ADBB9-43F9-4360-A345-5BEDE6D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D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42D"/>
  </w:style>
  <w:style w:type="paragraph" w:styleId="Stopka">
    <w:name w:val="footer"/>
    <w:basedOn w:val="Normalny"/>
    <w:link w:val="StopkaZnak"/>
    <w:uiPriority w:val="99"/>
    <w:unhideWhenUsed/>
    <w:rsid w:val="007B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42D"/>
  </w:style>
  <w:style w:type="table" w:styleId="Tabela-Siatka">
    <w:name w:val="Table Grid"/>
    <w:basedOn w:val="Standardowy"/>
    <w:uiPriority w:val="39"/>
    <w:rsid w:val="0041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C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06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B576-1084-4BD6-891B-3803B0C6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4252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Wychowańska Agata</dc:creator>
  <cp:keywords/>
  <dc:description/>
  <cp:lastModifiedBy>Jandy Artur</cp:lastModifiedBy>
  <cp:revision>2</cp:revision>
  <dcterms:created xsi:type="dcterms:W3CDTF">2021-03-29T08:17:00Z</dcterms:created>
  <dcterms:modified xsi:type="dcterms:W3CDTF">2021-03-29T08:17:00Z</dcterms:modified>
</cp:coreProperties>
</file>